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永州市中医医院</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4"/>
        <w:spacing w:line="600" w:lineRule="exact"/>
        <w:jc w:val="both"/>
        <w:rPr>
          <w:rFonts w:ascii="Times New Roman" w:hAnsi="Times New Roman" w:cs="Times New Roman"/>
          <w:b/>
          <w:sz w:val="36"/>
          <w:szCs w:val="28"/>
        </w:rPr>
      </w:pPr>
      <w:bookmarkStart w:id="3" w:name="_GoBack"/>
      <w:bookmarkEnd w:id="3"/>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color w:val="auto"/>
          <w:sz w:val="32"/>
          <w:szCs w:val="32"/>
          <w:highlight w:val="none"/>
          <w:lang w:eastAsia="zh-CN"/>
        </w:rPr>
        <w:t>永州市中医医院</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sectPr>
          <w:footerReference r:id="rId4" w:type="default"/>
          <w:pgSz w:w="11906" w:h="16838"/>
          <w:pgMar w:top="1417" w:right="1588" w:bottom="1417" w:left="1588" w:header="851" w:footer="992" w:gutter="0"/>
          <w:pgNumType w:start="1"/>
          <w:cols w:space="425" w:num="1"/>
          <w:docGrid w:type="lines" w:linePitch="312" w:charSpace="0"/>
        </w:sect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sectPr>
          <w:pgSz w:w="11906" w:h="16838"/>
          <w:pgMar w:top="1417" w:right="1588" w:bottom="1417" w:left="1588" w:header="851" w:footer="992" w:gutter="0"/>
          <w:pgNumType w:start="1"/>
          <w:cols w:space="425" w:num="1"/>
          <w:docGrid w:type="lines" w:linePitch="312" w:charSpace="0"/>
        </w:sectPr>
      </w:pPr>
      <w:r>
        <w:rPr>
          <w:rFonts w:hint="eastAsia" w:ascii="方正小标宋_GBK" w:hAnsi="方正小标宋_GBK" w:eastAsia="方正小标宋_GBK" w:cs="方正小标宋_GBK"/>
          <w:sz w:val="84"/>
          <w:szCs w:val="84"/>
        </w:rPr>
        <w:t>永州市中医医院概况</w:t>
      </w:r>
    </w:p>
    <w:p>
      <w:pPr>
        <w:rPr>
          <w:rFonts w:ascii="Times New Roman" w:hAnsi="Times New Roman" w:eastAsia="方正小标宋_GBK" w:cs="Times New Roman"/>
          <w:sz w:val="72"/>
          <w:szCs w:val="72"/>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napToGrid w:val="0"/>
        <w:spacing w:line="520" w:lineRule="exact"/>
        <w:ind w:firstLine="640" w:firstLineChars="200"/>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我院创建于1955年，经过</w:t>
      </w:r>
      <w:r>
        <w:rPr>
          <w:rFonts w:hint="eastAsia" w:ascii="仿宋_GB2312" w:hAnsi="仿宋" w:eastAsia="仿宋_GB2312"/>
          <w:color w:val="auto"/>
          <w:sz w:val="32"/>
          <w:szCs w:val="32"/>
          <w:highlight w:val="none"/>
          <w:lang w:val="en-US" w:eastAsia="zh-CN"/>
        </w:rPr>
        <w:t>70</w:t>
      </w:r>
      <w:r>
        <w:rPr>
          <w:rFonts w:hint="eastAsia" w:ascii="仿宋_GB2312" w:hAnsi="仿宋" w:eastAsia="仿宋_GB2312"/>
          <w:color w:val="auto"/>
          <w:sz w:val="32"/>
          <w:szCs w:val="32"/>
          <w:highlight w:val="none"/>
        </w:rPr>
        <w:t>个春秋的改革与发展，现已成为永州市具有较大规模、科室设置齐全、技术力量雄厚、医疗设备完整的集医疗、教学、科研、预防、保健于一体的三级甲等中医医院。属市、县(区)两级医保及各类商业保险定点医院;湖南中医药大学临床教学医院，湖南医药学院协作型附属医院，湖南中医药高等专科学校教学医院，是湖南中医药大学第一附属医院中医住院医师规范化培训基地协同单位，国家执业医师(中医类)实践技能考试基地，湖南省全科医生培养基地，永州市高校毕业生就业见习基地。</w:t>
      </w:r>
    </w:p>
    <w:p>
      <w:pPr>
        <w:spacing w:line="600" w:lineRule="exact"/>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napToGrid w:val="0"/>
        <w:spacing w:line="520" w:lineRule="exact"/>
        <w:ind w:firstLine="640" w:firstLineChars="200"/>
        <w:rPr>
          <w:rFonts w:hint="eastAsia" w:ascii="仿宋_GB2312" w:hAnsi="仿宋" w:eastAsia="仿宋_GB2312" w:cs="Times New Roman"/>
          <w:color w:val="auto"/>
          <w:sz w:val="32"/>
          <w:szCs w:val="32"/>
          <w:highlight w:val="none"/>
        </w:rPr>
      </w:pPr>
      <w:r>
        <w:rPr>
          <w:rFonts w:hint="eastAsia" w:ascii="仿宋_GB2312" w:hAnsi="仿宋" w:eastAsia="仿宋_GB2312"/>
          <w:color w:val="auto"/>
          <w:sz w:val="32"/>
          <w:szCs w:val="32"/>
          <w:highlight w:val="none"/>
          <w:lang w:val="en-US" w:eastAsia="zh-CN"/>
        </w:rPr>
        <w:t>（一）2025年，独立编制机构共</w:t>
      </w:r>
      <w:r>
        <w:rPr>
          <w:rFonts w:hint="eastAsia" w:ascii="仿宋_GB2312" w:eastAsia="仿宋_GB2312"/>
          <w:color w:val="auto"/>
          <w:sz w:val="32"/>
          <w:szCs w:val="32"/>
          <w:highlight w:val="none"/>
          <w:u w:val="single"/>
          <w:lang w:val="en-US" w:eastAsia="zh-CN"/>
        </w:rPr>
        <w:t>1</w:t>
      </w:r>
      <w:r>
        <w:rPr>
          <w:rFonts w:hint="eastAsia" w:ascii="仿宋_GB2312" w:hAnsi="仿宋" w:eastAsia="仿宋_GB2312"/>
          <w:color w:val="auto"/>
          <w:sz w:val="32"/>
          <w:szCs w:val="32"/>
          <w:highlight w:val="none"/>
          <w:lang w:val="en-US" w:eastAsia="zh-CN"/>
        </w:rPr>
        <w:t>个，独立核算机构共</w:t>
      </w:r>
      <w:r>
        <w:rPr>
          <w:rFonts w:hint="eastAsia" w:ascii="仿宋_GB2312" w:eastAsia="仿宋_GB2312"/>
          <w:color w:val="auto"/>
          <w:sz w:val="32"/>
          <w:szCs w:val="32"/>
          <w:highlight w:val="none"/>
          <w:u w:val="single"/>
          <w:lang w:val="en-US" w:eastAsia="zh-CN"/>
        </w:rPr>
        <w:t>1</w:t>
      </w:r>
      <w:r>
        <w:rPr>
          <w:rFonts w:hint="eastAsia" w:ascii="仿宋_GB2312" w:hAnsi="仿宋" w:eastAsia="仿宋_GB2312"/>
          <w:color w:val="auto"/>
          <w:sz w:val="32"/>
          <w:szCs w:val="32"/>
          <w:highlight w:val="none"/>
          <w:lang w:val="en-US" w:eastAsia="zh-CN"/>
        </w:rPr>
        <w:t>个，</w:t>
      </w:r>
      <w:r>
        <w:rPr>
          <w:rFonts w:hint="eastAsia" w:ascii="仿宋_GB2312" w:hAnsi="仿宋" w:eastAsia="仿宋_GB2312" w:cs="Times New Roman"/>
          <w:color w:val="auto"/>
          <w:sz w:val="32"/>
          <w:szCs w:val="32"/>
          <w:highlight w:val="none"/>
        </w:rPr>
        <w:t>本院设有内、外、妇、儿、针灸、骨伤、介入、康复、治未病、重症医学等60余个临床和医技科室，行政综合部、人力资源部、医务部、护理部、质量控制部、科教部、统计病案部、内审部、财务部等20个职能科室。</w:t>
      </w:r>
    </w:p>
    <w:p>
      <w:pPr>
        <w:pStyle w:val="2"/>
        <w:rPr>
          <w:rFonts w:hint="eastAsia"/>
        </w:rPr>
      </w:pPr>
      <w:r>
        <w:rPr>
          <w:rFonts w:hint="eastAsia" w:eastAsia="仿宋_GB2312" w:cs="仿宋_GB2312"/>
          <w:bCs/>
          <w:kern w:val="0"/>
          <w:sz w:val="32"/>
          <w:szCs w:val="32"/>
          <w:lang w:eastAsia="zh-CN"/>
        </w:rPr>
        <w:t>（</w:t>
      </w:r>
      <w:r>
        <w:rPr>
          <w:rFonts w:hint="eastAsia" w:ascii="Times New Roman" w:hAnsi="Times New Roman" w:eastAsia="仿宋_GB2312" w:cs="仿宋_GB2312"/>
          <w:bCs/>
          <w:kern w:val="0"/>
          <w:sz w:val="32"/>
          <w:szCs w:val="32"/>
        </w:rPr>
        <w:t>二）决算单位构成。永州市中医医院202</w:t>
      </w:r>
      <w:r>
        <w:rPr>
          <w:rFonts w:hint="eastAsia"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年部门决算汇总公开单位构成包括：永州市中医医院单位本级。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p>
    <w:p>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ascii="方正小标宋_GBK" w:hAnsi="方正小标宋_GBK" w:eastAsia="方正小标宋_GBK" w:cs="方正小标宋_GBK"/>
          <w:sz w:val="84"/>
          <w:szCs w:val="84"/>
        </w:rPr>
      </w:pPr>
    </w:p>
    <w:p>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hint="eastAsia" w:ascii="宋体" w:hAnsi="宋体" w:eastAsia="宋体" w:cs="宋体"/>
          <w:b/>
          <w:bCs/>
          <w:color w:val="000000"/>
          <w:sz w:val="36"/>
          <w:szCs w:val="36"/>
        </w:rPr>
      </w:pPr>
      <w:r>
        <w:rPr>
          <w:rFonts w:hint="eastAsia" w:ascii="宋体" w:hAnsi="宋体" w:eastAsia="宋体" w:cs="宋体"/>
          <w:b/>
          <w:bCs/>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hint="eastAsia" w:ascii="宋体" w:hAnsi="宋体" w:eastAsia="宋体" w:cs="宋体"/>
          <w:color w:val="000000"/>
          <w:sz w:val="20"/>
          <w:szCs w:val="20"/>
        </w:rPr>
      </w:pP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部门：</w:t>
      </w:r>
      <w:r>
        <w:rPr>
          <w:rFonts w:hint="eastAsia" w:ascii="宋体" w:hAnsi="宋体" w:eastAsia="宋体" w:cs="宋体"/>
          <w:color w:val="000000"/>
          <w:kern w:val="0"/>
          <w:sz w:val="20"/>
          <w:szCs w:val="20"/>
          <w:lang w:eastAsia="zh-CN" w:bidi="ar"/>
        </w:rPr>
        <w:t>永州市中医医院</w:t>
      </w:r>
      <w:r>
        <w:rPr>
          <w:rFonts w:hint="eastAsia" w:ascii="宋体" w:hAnsi="宋体" w:eastAsia="宋体" w:cs="宋体"/>
          <w:color w:val="000000"/>
          <w:sz w:val="20"/>
          <w:szCs w:val="20"/>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sz w:val="24"/>
          <w:szCs w:val="24"/>
        </w:rPr>
        <w:tab/>
      </w:r>
      <w:r>
        <w:rPr>
          <w:rFonts w:hint="eastAsia" w:ascii="宋体" w:hAnsi="宋体" w:eastAsia="宋体" w:cs="宋体"/>
          <w:color w:val="000000"/>
          <w:kern w:val="0"/>
          <w:sz w:val="20"/>
          <w:szCs w:val="20"/>
          <w:lang w:bidi="ar"/>
        </w:rPr>
        <w:t>单位：万元</w:t>
      </w:r>
    </w:p>
    <w:tbl>
      <w:tblPr>
        <w:tblStyle w:val="11"/>
        <w:tblW w:w="14896" w:type="dxa"/>
        <w:jc w:val="center"/>
        <w:tblInd w:w="0" w:type="dxa"/>
        <w:tblLayout w:type="fixed"/>
        <w:tblCellMar>
          <w:top w:w="0" w:type="dxa"/>
          <w:left w:w="108" w:type="dxa"/>
          <w:bottom w:w="0" w:type="dxa"/>
          <w:right w:w="108" w:type="dxa"/>
        </w:tblCellMar>
      </w:tblPr>
      <w:tblGrid>
        <w:gridCol w:w="5762"/>
        <w:gridCol w:w="850"/>
        <w:gridCol w:w="1291"/>
        <w:gridCol w:w="4851"/>
        <w:gridCol w:w="850"/>
        <w:gridCol w:w="1292"/>
      </w:tblGrid>
      <w:tr>
        <w:tblPrEx>
          <w:tblLayout w:type="fixed"/>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支出</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决算数</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5,924.66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val="en-US" w:eastAsia="zh-CN" w:bidi="ar"/>
              </w:rPr>
              <w:t>31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944.13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30,222.89</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2.81</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七、文化旅游体育与传媒支出</w:t>
            </w:r>
          </w:p>
          <w:p>
            <w:pPr>
              <w:widowControl/>
              <w:jc w:val="left"/>
              <w:textAlignment w:val="center"/>
              <w:rPr>
                <w:rFonts w:hint="eastAsia" w:ascii="宋体" w:hAnsi="宋体" w:eastAsia="宋体" w:cs="宋体"/>
                <w:color w:val="000000"/>
                <w:kern w:val="0"/>
                <w:sz w:val="22"/>
                <w:lang w:bidi="ar"/>
              </w:rPr>
            </w:pPr>
          </w:p>
          <w:p>
            <w:pPr>
              <w:widowControl/>
              <w:jc w:val="left"/>
              <w:textAlignment w:val="center"/>
              <w:rPr>
                <w:rFonts w:hint="eastAsia" w:ascii="宋体" w:hAnsi="宋体" w:eastAsia="宋体" w:cs="宋体"/>
                <w:color w:val="000000"/>
                <w:kern w:val="0"/>
                <w:sz w:val="22"/>
                <w:lang w:bidi="ar"/>
              </w:rPr>
            </w:pPr>
          </w:p>
          <w:p>
            <w:pPr>
              <w:widowControl/>
              <w:jc w:val="left"/>
              <w:textAlignment w:val="center"/>
              <w:rPr>
                <w:rFonts w:hint="eastAsia" w:ascii="宋体" w:hAnsi="宋体" w:eastAsia="宋体" w:cs="宋体"/>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485"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4.66</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kern w:val="0"/>
                <w:sz w:val="22"/>
                <w:lang w:val="en-US" w:eastAsia="zh-CN" w:bidi="ar"/>
              </w:rPr>
              <w:t>35,829.98</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42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43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44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45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46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47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48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49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944.13</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r>
              <w:rPr>
                <w:rFonts w:hint="eastAsia" w:ascii="宋体" w:hAnsi="宋体" w:eastAsia="宋体" w:cs="宋体"/>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37,096.34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r>
              <w:rPr>
                <w:rFonts w:hint="eastAsia" w:ascii="宋体" w:hAnsi="宋体" w:eastAsia="宋体" w:cs="宋体"/>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36,776.92</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b/>
                <w:color w:val="000000"/>
                <w:kern w:val="0"/>
                <w:sz w:val="22"/>
                <w:lang w:bidi="ar"/>
              </w:rPr>
            </w:pPr>
            <w:r>
              <w:rPr>
                <w:rFonts w:hint="eastAsia" w:ascii="宋体" w:hAnsi="宋体" w:eastAsia="宋体" w:cs="宋体"/>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b/>
                <w:color w:val="000000"/>
                <w:kern w:val="0"/>
                <w:sz w:val="22"/>
                <w:lang w:bidi="ar"/>
              </w:rPr>
            </w:pPr>
            <w:r>
              <w:rPr>
                <w:rFonts w:hint="eastAsia" w:ascii="宋体" w:hAnsi="宋体" w:eastAsia="宋体" w:cs="宋体"/>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319.42</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b/>
                <w:color w:val="000000"/>
                <w:kern w:val="0"/>
                <w:sz w:val="22"/>
                <w:lang w:bidi="ar"/>
              </w:rPr>
            </w:pPr>
            <w:r>
              <w:rPr>
                <w:rFonts w:hint="eastAsia" w:ascii="宋体" w:hAnsi="宋体" w:eastAsia="宋体" w:cs="宋体"/>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b/>
                <w:color w:val="000000"/>
                <w:kern w:val="0"/>
                <w:sz w:val="22"/>
                <w:lang w:bidi="ar"/>
              </w:rPr>
            </w:pPr>
            <w:r>
              <w:rPr>
                <w:rFonts w:hint="eastAsia" w:ascii="宋体" w:hAnsi="宋体" w:eastAsia="宋体" w:cs="宋体"/>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59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0</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r>
              <w:rPr>
                <w:rFonts w:hint="eastAsia" w:ascii="宋体" w:hAnsi="宋体" w:eastAsia="宋体" w:cs="宋体"/>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37,096.34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color w:val="000000"/>
                <w:kern w:val="0"/>
                <w:sz w:val="22"/>
                <w:lang w:bidi="ar"/>
              </w:rPr>
            </w:pPr>
            <w:r>
              <w:rPr>
                <w:rFonts w:hint="eastAsia" w:ascii="宋体" w:hAnsi="宋体" w:eastAsia="宋体" w:cs="宋体"/>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60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color w:val="000000"/>
                <w:sz w:val="22"/>
                <w:lang w:val="en-US" w:eastAsia="zh-CN"/>
              </w:rPr>
            </w:pPr>
            <w:r>
              <w:rPr>
                <w:rFonts w:hint="eastAsia" w:ascii="宋体" w:hAnsi="宋体" w:eastAsia="宋体" w:cs="宋体"/>
                <w:b w:val="0"/>
                <w:bCs/>
                <w:color w:val="000000"/>
                <w:sz w:val="22"/>
                <w:lang w:val="en-US" w:eastAsia="zh-CN"/>
              </w:rPr>
              <w:t>37,096.34</w:t>
            </w:r>
          </w:p>
        </w:tc>
      </w:tr>
    </w:tbl>
    <w:p>
      <w:pPr>
        <w:widowControl/>
        <w:jc w:val="left"/>
        <w:textAlignment w:val="center"/>
        <w:rPr>
          <w:rFonts w:hint="eastAsia" w:ascii="宋体" w:hAnsi="宋体" w:eastAsia="宋体" w:cs="宋体"/>
          <w:color w:val="000000"/>
          <w:kern w:val="0"/>
          <w:sz w:val="24"/>
          <w:szCs w:val="24"/>
          <w:lang w:bidi="ar"/>
        </w:rPr>
      </w:pPr>
    </w:p>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注：1.本表反映部门本年度的总收支和年末结转结余情况。</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2.本套报表金额单位转换时可能存在尾数误差。</w:t>
      </w:r>
    </w:p>
    <w:p>
      <w:pPr>
        <w:rPr>
          <w:rFonts w:hint="eastAsia" w:ascii="宋体" w:hAnsi="宋体" w:eastAsia="宋体" w:cs="宋体"/>
          <w:color w:val="000000"/>
          <w:sz w:val="32"/>
          <w:szCs w:val="32"/>
        </w:rPr>
      </w:pPr>
      <w:r>
        <w:rPr>
          <w:rFonts w:hint="eastAsia" w:ascii="宋体" w:hAnsi="宋体" w:eastAsia="宋体" w:cs="宋体"/>
          <w:color w:val="000000"/>
          <w:sz w:val="32"/>
          <w:szCs w:val="32"/>
        </w:rPr>
        <w:br w:type="page"/>
      </w:r>
    </w:p>
    <w:p>
      <w:pPr>
        <w:widowControl/>
        <w:spacing w:after="156" w:afterLines="50"/>
        <w:jc w:val="center"/>
        <w:textAlignment w:val="center"/>
        <w:rPr>
          <w:rFonts w:hint="eastAsia" w:ascii="宋体" w:hAnsi="宋体" w:eastAsia="宋体" w:cs="宋体"/>
          <w:b/>
          <w:bCs/>
          <w:color w:val="000000"/>
          <w:kern w:val="0"/>
          <w:sz w:val="36"/>
          <w:szCs w:val="36"/>
          <w:lang w:bidi="ar"/>
        </w:rPr>
      </w:pPr>
      <w:r>
        <w:rPr>
          <w:rFonts w:hint="eastAsia" w:ascii="宋体" w:hAnsi="宋体" w:eastAsia="宋体" w:cs="宋体"/>
          <w:b/>
          <w:bCs/>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hint="eastAsia" w:ascii="宋体" w:hAnsi="宋体" w:eastAsia="宋体" w:cs="宋体"/>
          <w:color w:val="000000"/>
          <w:sz w:val="22"/>
          <w:szCs w:val="22"/>
        </w:rPr>
      </w:pP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color w:val="000000"/>
          <w:sz w:val="22"/>
          <w:szCs w:val="22"/>
        </w:rPr>
        <w:t>公开02表</w:t>
      </w:r>
    </w:p>
    <w:p>
      <w:pPr>
        <w:tabs>
          <w:tab w:val="left" w:pos="630"/>
          <w:tab w:val="left" w:pos="2100"/>
          <w:tab w:val="left" w:pos="3895"/>
          <w:tab w:val="left" w:pos="5690"/>
          <w:tab w:val="left" w:pos="7485"/>
          <w:tab w:val="left" w:pos="9280"/>
          <w:tab w:val="left" w:pos="11075"/>
          <w:tab w:val="left" w:pos="12870"/>
        </w:tabs>
        <w:jc w:val="right"/>
        <w:rPr>
          <w:rFonts w:hint="eastAsia" w:ascii="宋体" w:hAnsi="宋体" w:eastAsia="宋体" w:cs="宋体"/>
          <w:color w:val="000000"/>
          <w:sz w:val="22"/>
          <w:szCs w:val="22"/>
        </w:rPr>
      </w:pPr>
      <w:r>
        <w:rPr>
          <w:rFonts w:hint="eastAsia" w:ascii="宋体" w:hAnsi="宋体" w:eastAsia="宋体" w:cs="宋体"/>
          <w:color w:val="000000"/>
          <w:sz w:val="22"/>
          <w:szCs w:val="22"/>
        </w:rPr>
        <w:t>部门：</w:t>
      </w:r>
      <w:r>
        <w:rPr>
          <w:rFonts w:hint="eastAsia" w:ascii="宋体" w:hAnsi="宋体" w:eastAsia="宋体" w:cs="宋体"/>
          <w:color w:val="000000"/>
          <w:sz w:val="22"/>
          <w:szCs w:val="22"/>
          <w:lang w:eastAsia="zh-CN"/>
        </w:rPr>
        <w:t>永州市中医医院</w:t>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color w:val="000000"/>
          <w:sz w:val="22"/>
          <w:szCs w:val="22"/>
        </w:rPr>
        <w:t>　</w:t>
      </w:r>
      <w:r>
        <w:rPr>
          <w:rFonts w:hint="eastAsia" w:ascii="宋体" w:hAnsi="宋体" w:eastAsia="宋体" w:cs="宋体"/>
          <w:color w:val="000000"/>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sz w:val="22"/>
          <w:szCs w:val="22"/>
        </w:rPr>
        <w:t>　</w:t>
      </w:r>
      <w:r>
        <w:rPr>
          <w:rFonts w:hint="eastAsia" w:ascii="宋体" w:hAnsi="宋体" w:eastAsia="宋体" w:cs="宋体"/>
          <w:sz w:val="22"/>
          <w:szCs w:val="22"/>
        </w:rPr>
        <w:tab/>
      </w:r>
      <w:r>
        <w:rPr>
          <w:rFonts w:hint="eastAsia" w:ascii="宋体" w:hAnsi="宋体" w:eastAsia="宋体" w:cs="宋体"/>
          <w:color w:val="000000"/>
          <w:sz w:val="22"/>
          <w:szCs w:val="22"/>
        </w:rPr>
        <w:t>单位：万元</w:t>
      </w:r>
    </w:p>
    <w:tbl>
      <w:tblPr>
        <w:tblStyle w:val="11"/>
        <w:tblW w:w="14666" w:type="dxa"/>
        <w:jc w:val="center"/>
        <w:tblInd w:w="0" w:type="dxa"/>
        <w:tblLayout w:type="fixed"/>
        <w:tblCellMar>
          <w:top w:w="0" w:type="dxa"/>
          <w:left w:w="0" w:type="dxa"/>
          <w:bottom w:w="0" w:type="dxa"/>
          <w:right w:w="0" w:type="dxa"/>
        </w:tblCellMar>
      </w:tblPr>
      <w:tblGrid>
        <w:gridCol w:w="1423"/>
        <w:gridCol w:w="2355"/>
        <w:gridCol w:w="1425"/>
        <w:gridCol w:w="1440"/>
        <w:gridCol w:w="1463"/>
        <w:gridCol w:w="1640"/>
        <w:gridCol w:w="1640"/>
        <w:gridCol w:w="1897"/>
        <w:gridCol w:w="1383"/>
      </w:tblGrid>
      <w:tr>
        <w:tblPrEx>
          <w:tblLayout w:type="fixed"/>
          <w:tblCellMar>
            <w:top w:w="0" w:type="dxa"/>
            <w:left w:w="0" w:type="dxa"/>
            <w:bottom w:w="0" w:type="dxa"/>
            <w:right w:w="0" w:type="dxa"/>
          </w:tblCellMar>
        </w:tblPrEx>
        <w:trPr>
          <w:trHeight w:val="450" w:hRule="atLeast"/>
          <w:jc w:val="center"/>
        </w:trPr>
        <w:tc>
          <w:tcPr>
            <w:tcW w:w="377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项    目</w:t>
            </w:r>
          </w:p>
        </w:tc>
        <w:tc>
          <w:tcPr>
            <w:tcW w:w="14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本年收入合计</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财政拨款收入</w:t>
            </w:r>
          </w:p>
        </w:tc>
        <w:tc>
          <w:tcPr>
            <w:tcW w:w="14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其他收入</w:t>
            </w:r>
          </w:p>
        </w:tc>
      </w:tr>
      <w:tr>
        <w:tblPrEx>
          <w:tblLayout w:type="fixed"/>
          <w:tblCellMar>
            <w:top w:w="0" w:type="dxa"/>
            <w:left w:w="0" w:type="dxa"/>
            <w:bottom w:w="0" w:type="dxa"/>
            <w:right w:w="0" w:type="dxa"/>
          </w:tblCellMar>
        </w:tblPrEx>
        <w:trPr>
          <w:trHeight w:val="334" w:hRule="exact"/>
          <w:jc w:val="center"/>
        </w:trPr>
        <w:tc>
          <w:tcPr>
            <w:tcW w:w="14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功能分类科目编码</w:t>
            </w:r>
          </w:p>
        </w:tc>
        <w:tc>
          <w:tcPr>
            <w:tcW w:w="235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科目名称</w:t>
            </w:r>
          </w:p>
        </w:tc>
        <w:tc>
          <w:tcPr>
            <w:tcW w:w="142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46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r>
      <w:tr>
        <w:tblPrEx>
          <w:tblLayout w:type="fixed"/>
          <w:tblCellMar>
            <w:top w:w="0" w:type="dxa"/>
            <w:left w:w="0" w:type="dxa"/>
            <w:bottom w:w="0" w:type="dxa"/>
            <w:right w:w="0" w:type="dxa"/>
          </w:tblCellMar>
        </w:tblPrEx>
        <w:trPr>
          <w:trHeight w:val="312" w:hRule="atLeast"/>
          <w:jc w:val="center"/>
        </w:trPr>
        <w:tc>
          <w:tcPr>
            <w:tcW w:w="142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2355"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46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2"/>
                <w:szCs w:val="22"/>
              </w:rPr>
            </w:pPr>
          </w:p>
        </w:tc>
      </w:tr>
      <w:tr>
        <w:tblPrEx>
          <w:tblLayout w:type="fixed"/>
          <w:tblCellMar>
            <w:top w:w="0" w:type="dxa"/>
            <w:left w:w="0" w:type="dxa"/>
            <w:bottom w:w="0" w:type="dxa"/>
            <w:right w:w="0" w:type="dxa"/>
          </w:tblCellMar>
        </w:tblPrEx>
        <w:trPr>
          <w:trHeight w:val="450" w:hRule="atLeast"/>
          <w:jc w:val="center"/>
        </w:trPr>
        <w:tc>
          <w:tcPr>
            <w:tcW w:w="377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栏次</w:t>
            </w:r>
          </w:p>
        </w:tc>
        <w:tc>
          <w:tcPr>
            <w:tcW w:w="142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1</w:t>
            </w:r>
          </w:p>
        </w:tc>
        <w:tc>
          <w:tcPr>
            <w:tcW w:w="14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w:t>
            </w:r>
          </w:p>
        </w:tc>
        <w:tc>
          <w:tcPr>
            <w:tcW w:w="146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7</w:t>
            </w:r>
          </w:p>
        </w:tc>
      </w:tr>
      <w:tr>
        <w:tblPrEx>
          <w:tblLayout w:type="fixed"/>
          <w:tblCellMar>
            <w:top w:w="0" w:type="dxa"/>
            <w:left w:w="0" w:type="dxa"/>
            <w:bottom w:w="0" w:type="dxa"/>
            <w:right w:w="0" w:type="dxa"/>
          </w:tblCellMar>
        </w:tblPrEx>
        <w:trPr>
          <w:trHeight w:val="450" w:hRule="atLeast"/>
          <w:jc w:val="center"/>
        </w:trPr>
        <w:tc>
          <w:tcPr>
            <w:tcW w:w="377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合计</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37,096.34</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6,868.79</w:t>
            </w:r>
          </w:p>
        </w:tc>
        <w:tc>
          <w:tcPr>
            <w:tcW w:w="146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30,222.89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4.66</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2069999</w:t>
            </w:r>
          </w:p>
        </w:tc>
        <w:tc>
          <w:tcPr>
            <w:tcW w:w="23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其他科学技术支出</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2.81</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2.81</w:t>
            </w:r>
          </w:p>
        </w:tc>
        <w:tc>
          <w:tcPr>
            <w:tcW w:w="146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2100201</w:t>
            </w:r>
          </w:p>
        </w:tc>
        <w:tc>
          <w:tcPr>
            <w:tcW w:w="23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综合医院</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106.07</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106.07</w:t>
            </w:r>
          </w:p>
        </w:tc>
        <w:tc>
          <w:tcPr>
            <w:tcW w:w="146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2100202</w:t>
            </w:r>
          </w:p>
        </w:tc>
        <w:tc>
          <w:tcPr>
            <w:tcW w:w="23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中医（民族）医院</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30,227.56</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rPr>
            </w:pPr>
          </w:p>
        </w:tc>
        <w:tc>
          <w:tcPr>
            <w:tcW w:w="146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30,222.89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4.66</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2100299</w:t>
            </w:r>
          </w:p>
        </w:tc>
        <w:tc>
          <w:tcPr>
            <w:tcW w:w="23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其他公立医院支出</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403.58</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403.58</w:t>
            </w:r>
          </w:p>
        </w:tc>
        <w:tc>
          <w:tcPr>
            <w:tcW w:w="146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2100717</w:t>
            </w:r>
          </w:p>
        </w:tc>
        <w:tc>
          <w:tcPr>
            <w:tcW w:w="23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计划生育服务</w:t>
            </w:r>
          </w:p>
        </w:tc>
        <w:tc>
          <w:tcPr>
            <w:tcW w:w="142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4.00</w:t>
            </w:r>
          </w:p>
        </w:tc>
        <w:tc>
          <w:tcPr>
            <w:tcW w:w="14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4.00</w:t>
            </w:r>
          </w:p>
        </w:tc>
        <w:tc>
          <w:tcPr>
            <w:tcW w:w="146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2101199</w:t>
            </w:r>
          </w:p>
        </w:tc>
        <w:tc>
          <w:tcPr>
            <w:tcW w:w="23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其他行政事业单位医疗支出</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12.30</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12.30</w:t>
            </w:r>
          </w:p>
        </w:tc>
        <w:tc>
          <w:tcPr>
            <w:tcW w:w="14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2101704</w:t>
            </w:r>
          </w:p>
        </w:tc>
        <w:tc>
          <w:tcPr>
            <w:tcW w:w="23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中医（民族医）药专项</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155.00</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155.00</w:t>
            </w:r>
          </w:p>
        </w:tc>
        <w:tc>
          <w:tcPr>
            <w:tcW w:w="14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2109999</w:t>
            </w:r>
          </w:p>
        </w:tc>
        <w:tc>
          <w:tcPr>
            <w:tcW w:w="23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其他卫生健康支出</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5,240.89</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5,240.89</w:t>
            </w:r>
          </w:p>
        </w:tc>
        <w:tc>
          <w:tcPr>
            <w:tcW w:w="14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r>
        <w:tblPrEx>
          <w:tblLayout w:type="fixed"/>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2"/>
                <w:szCs w:val="22"/>
              </w:rPr>
            </w:pPr>
            <w:r>
              <w:rPr>
                <w:rFonts w:hint="eastAsia" w:ascii="宋体" w:hAnsi="宋体" w:eastAsia="宋体" w:cs="宋体"/>
                <w:sz w:val="22"/>
                <w:szCs w:val="22"/>
              </w:rPr>
              <w:t>2290402</w:t>
            </w:r>
          </w:p>
        </w:tc>
        <w:tc>
          <w:tcPr>
            <w:tcW w:w="23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left"/>
              <w:rPr>
                <w:rFonts w:hint="eastAsia" w:ascii="宋体" w:hAnsi="宋体" w:eastAsia="宋体" w:cs="宋体"/>
                <w:sz w:val="22"/>
                <w:szCs w:val="22"/>
              </w:rPr>
            </w:pPr>
            <w:r>
              <w:rPr>
                <w:rFonts w:hint="eastAsia" w:ascii="宋体" w:hAnsi="宋体" w:eastAsia="宋体" w:cs="宋体"/>
                <w:sz w:val="22"/>
                <w:szCs w:val="22"/>
              </w:rPr>
              <w:t>其他地方自行试点项目收益专项债券收入安排的支出</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i w:val="0"/>
                <w:color w:val="000000"/>
                <w:kern w:val="0"/>
                <w:sz w:val="22"/>
                <w:szCs w:val="22"/>
                <w:u w:val="none"/>
                <w:lang w:val="en-US" w:eastAsia="zh-CN" w:bidi="ar"/>
              </w:rPr>
            </w:pPr>
            <w:r>
              <w:rPr>
                <w:rFonts w:hint="eastAsia" w:ascii="宋体" w:hAnsi="宋体" w:eastAsia="宋体" w:cs="宋体"/>
                <w:b w:val="0"/>
                <w:bCs w:val="0"/>
                <w:i w:val="0"/>
                <w:color w:val="000000"/>
                <w:kern w:val="0"/>
                <w:sz w:val="22"/>
                <w:szCs w:val="22"/>
                <w:u w:val="none"/>
                <w:lang w:val="en-US" w:eastAsia="zh-CN" w:bidi="ar"/>
              </w:rPr>
              <w:t>944.13</w:t>
            </w:r>
          </w:p>
        </w:tc>
        <w:tc>
          <w:tcPr>
            <w:tcW w:w="14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val="0"/>
                <w:bCs w:val="0"/>
                <w:sz w:val="22"/>
                <w:szCs w:val="22"/>
              </w:rPr>
            </w:pPr>
            <w:r>
              <w:rPr>
                <w:rFonts w:hint="eastAsia" w:ascii="宋体" w:hAnsi="宋体" w:eastAsia="宋体" w:cs="宋体"/>
                <w:b w:val="0"/>
                <w:bCs w:val="0"/>
                <w:i w:val="0"/>
                <w:color w:val="000000"/>
                <w:kern w:val="0"/>
                <w:sz w:val="22"/>
                <w:szCs w:val="22"/>
                <w:u w:val="none"/>
                <w:lang w:val="en-US" w:eastAsia="zh-CN" w:bidi="ar"/>
              </w:rPr>
              <w:t>944.13</w:t>
            </w:r>
          </w:p>
        </w:tc>
        <w:tc>
          <w:tcPr>
            <w:tcW w:w="14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0</w:t>
            </w:r>
          </w:p>
        </w:tc>
      </w:tr>
    </w:tbl>
    <w:p>
      <w:pPr>
        <w:spacing w:before="120"/>
        <w:rPr>
          <w:rFonts w:hint="eastAsia" w:ascii="宋体" w:hAnsi="宋体" w:eastAsia="宋体" w:cs="宋体"/>
          <w:color w:val="000000"/>
          <w:kern w:val="0"/>
          <w:sz w:val="22"/>
          <w:szCs w:val="22"/>
          <w:lang w:bidi="ar"/>
        </w:rPr>
      </w:pPr>
      <w:r>
        <w:rPr>
          <w:rFonts w:hint="eastAsia" w:ascii="宋体" w:hAnsi="宋体" w:eastAsia="宋体" w:cs="宋体"/>
          <w:sz w:val="22"/>
          <w:szCs w:val="22"/>
        </w:rPr>
        <w:t>注：本表反映部门本年度取得的各项收入情况。</w:t>
      </w:r>
      <w:r>
        <w:rPr>
          <w:rFonts w:hint="eastAsia" w:ascii="宋体" w:hAnsi="宋体" w:eastAsia="宋体" w:cs="宋体"/>
          <w:bCs/>
          <w:kern w:val="0"/>
          <w:sz w:val="22"/>
          <w:szCs w:val="22"/>
        </w:rPr>
        <w:br w:type="page"/>
      </w:r>
    </w:p>
    <w:p>
      <w:pPr>
        <w:widowControl/>
        <w:spacing w:after="156" w:afterLines="50"/>
        <w:jc w:val="center"/>
        <w:textAlignment w:val="center"/>
        <w:rPr>
          <w:rFonts w:hint="eastAsia" w:ascii="宋体" w:hAnsi="宋体" w:eastAsia="宋体" w:cs="宋体"/>
          <w:b/>
          <w:bCs/>
          <w:color w:val="000000"/>
          <w:kern w:val="0"/>
          <w:sz w:val="36"/>
          <w:szCs w:val="36"/>
          <w:lang w:bidi="ar"/>
        </w:rPr>
      </w:pPr>
      <w:r>
        <w:rPr>
          <w:rFonts w:hint="eastAsia" w:ascii="宋体" w:hAnsi="宋体" w:eastAsia="宋体" w:cs="宋体"/>
          <w:b/>
          <w:bCs/>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hint="eastAsia" w:ascii="宋体" w:hAnsi="宋体" w:eastAsia="宋体" w:cs="宋体"/>
          <w:color w:val="000000"/>
          <w:kern w:val="0"/>
          <w:sz w:val="22"/>
          <w:szCs w:val="22"/>
        </w:rPr>
      </w:pP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color w:val="000000"/>
          <w:kern w:val="0"/>
          <w:sz w:val="22"/>
          <w:szCs w:val="22"/>
        </w:rPr>
        <w:t>公开03表</w:t>
      </w:r>
    </w:p>
    <w:p>
      <w:pPr>
        <w:widowControl/>
        <w:tabs>
          <w:tab w:val="left" w:pos="1236"/>
          <w:tab w:val="left" w:pos="1499"/>
          <w:tab w:val="left" w:pos="2980"/>
          <w:tab w:val="left" w:pos="4932"/>
          <w:tab w:val="left" w:pos="6923"/>
          <w:tab w:val="left" w:pos="8914"/>
          <w:tab w:val="left" w:pos="10905"/>
          <w:tab w:val="left" w:pos="12896"/>
        </w:tabs>
        <w:jc w:val="righ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部门：</w:t>
      </w:r>
      <w:r>
        <w:rPr>
          <w:rFonts w:hint="eastAsia" w:ascii="宋体" w:hAnsi="宋体" w:eastAsia="宋体" w:cs="宋体"/>
          <w:color w:val="000000"/>
          <w:kern w:val="0"/>
          <w:sz w:val="22"/>
          <w:szCs w:val="22"/>
          <w:lang w:eastAsia="zh-CN"/>
        </w:rPr>
        <w:t>永州市中医医院</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color w:val="000000"/>
          <w:kern w:val="0"/>
          <w:sz w:val="22"/>
          <w:szCs w:val="22"/>
        </w:rPr>
        <w:t>单位：万元</w:t>
      </w:r>
    </w:p>
    <w:tbl>
      <w:tblPr>
        <w:tblStyle w:val="11"/>
        <w:tblW w:w="14214" w:type="dxa"/>
        <w:jc w:val="center"/>
        <w:tblInd w:w="0" w:type="dxa"/>
        <w:tblLayout w:type="fixed"/>
        <w:tblCellMar>
          <w:top w:w="0" w:type="dxa"/>
          <w:left w:w="108" w:type="dxa"/>
          <w:bottom w:w="0" w:type="dxa"/>
          <w:right w:w="108" w:type="dxa"/>
        </w:tblCellMar>
      </w:tblPr>
      <w:tblGrid>
        <w:gridCol w:w="1512"/>
        <w:gridCol w:w="3015"/>
        <w:gridCol w:w="1305"/>
        <w:gridCol w:w="1455"/>
        <w:gridCol w:w="1500"/>
        <w:gridCol w:w="1396"/>
        <w:gridCol w:w="1334"/>
        <w:gridCol w:w="2697"/>
      </w:tblGrid>
      <w:tr>
        <w:tblPrEx>
          <w:tblLayout w:type="fixed"/>
          <w:tblCellMar>
            <w:top w:w="0" w:type="dxa"/>
            <w:left w:w="108" w:type="dxa"/>
            <w:bottom w:w="0" w:type="dxa"/>
            <w:right w:w="108" w:type="dxa"/>
          </w:tblCellMar>
        </w:tblPrEx>
        <w:trPr>
          <w:trHeight w:val="450" w:hRule="atLeast"/>
          <w:jc w:val="center"/>
        </w:trPr>
        <w:tc>
          <w:tcPr>
            <w:tcW w:w="45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项    目</w:t>
            </w:r>
          </w:p>
        </w:tc>
        <w:tc>
          <w:tcPr>
            <w:tcW w:w="130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本年支出合计</w:t>
            </w:r>
          </w:p>
        </w:tc>
        <w:tc>
          <w:tcPr>
            <w:tcW w:w="145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基本支出</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项目支出</w:t>
            </w:r>
          </w:p>
        </w:tc>
        <w:tc>
          <w:tcPr>
            <w:tcW w:w="139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对附属单位补助支出</w:t>
            </w:r>
          </w:p>
        </w:tc>
      </w:tr>
      <w:tr>
        <w:tblPrEx>
          <w:tblLayout w:type="fixed"/>
          <w:tblCellMar>
            <w:top w:w="0" w:type="dxa"/>
            <w:left w:w="108" w:type="dxa"/>
            <w:bottom w:w="0" w:type="dxa"/>
            <w:right w:w="108" w:type="dxa"/>
          </w:tblCellMar>
        </w:tblPrEx>
        <w:trPr>
          <w:trHeight w:val="312" w:hRule="exact"/>
          <w:jc w:val="center"/>
        </w:trPr>
        <w:tc>
          <w:tcPr>
            <w:tcW w:w="151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功能分类科目编码</w:t>
            </w:r>
          </w:p>
        </w:tc>
        <w:tc>
          <w:tcPr>
            <w:tcW w:w="3015" w:type="dxa"/>
            <w:vMerge w:val="restart"/>
            <w:tcBorders>
              <w:top w:val="nil"/>
              <w:left w:val="single" w:color="auto" w:sz="4" w:space="0"/>
              <w:bottom w:val="single" w:color="auto" w:sz="4" w:space="0"/>
              <w:right w:val="single" w:color="auto" w:sz="4" w:space="0"/>
            </w:tcBorders>
            <w:shd w:val="clear" w:color="000000" w:fill="FFFFFF"/>
            <w:vAlign w:val="center"/>
          </w:tcPr>
          <w:p>
            <w:pPr>
              <w:jc w:val="center"/>
              <w:rPr>
                <w:rFonts w:hint="eastAsia" w:ascii="宋体" w:hAnsi="宋体" w:eastAsia="宋体" w:cs="宋体"/>
                <w:b/>
                <w:bCs/>
                <w:sz w:val="22"/>
                <w:szCs w:val="22"/>
              </w:rPr>
            </w:pPr>
            <w:r>
              <w:rPr>
                <w:rFonts w:hint="eastAsia" w:ascii="宋体" w:hAnsi="宋体" w:eastAsia="宋体" w:cs="宋体"/>
                <w:b/>
                <w:bCs/>
                <w:sz w:val="22"/>
                <w:szCs w:val="22"/>
              </w:rPr>
              <w:t>科目名称</w:t>
            </w:r>
          </w:p>
        </w:tc>
        <w:tc>
          <w:tcPr>
            <w:tcW w:w="13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2"/>
                <w:szCs w:val="22"/>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2"/>
                <w:szCs w:val="22"/>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2"/>
                <w:szCs w:val="22"/>
              </w:rPr>
            </w:pPr>
          </w:p>
        </w:tc>
        <w:tc>
          <w:tcPr>
            <w:tcW w:w="139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2"/>
                <w:szCs w:val="22"/>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2"/>
                <w:szCs w:val="22"/>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b/>
                <w:bCs/>
                <w:kern w:val="0"/>
                <w:sz w:val="22"/>
                <w:szCs w:val="22"/>
              </w:rPr>
            </w:pPr>
          </w:p>
        </w:tc>
      </w:tr>
      <w:tr>
        <w:tblPrEx>
          <w:tblLayout w:type="fixed"/>
          <w:tblCellMar>
            <w:top w:w="0" w:type="dxa"/>
            <w:left w:w="108" w:type="dxa"/>
            <w:bottom w:w="0" w:type="dxa"/>
            <w:right w:w="108" w:type="dxa"/>
          </w:tblCellMar>
        </w:tblPrEx>
        <w:trPr>
          <w:trHeight w:val="312" w:hRule="atLeast"/>
          <w:jc w:val="center"/>
        </w:trPr>
        <w:tc>
          <w:tcPr>
            <w:tcW w:w="15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c>
          <w:tcPr>
            <w:tcW w:w="301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c>
          <w:tcPr>
            <w:tcW w:w="139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2"/>
                <w:szCs w:val="22"/>
              </w:rPr>
            </w:pPr>
          </w:p>
        </w:tc>
      </w:tr>
      <w:tr>
        <w:tblPrEx>
          <w:tblLayout w:type="fixed"/>
          <w:tblCellMar>
            <w:top w:w="0" w:type="dxa"/>
            <w:left w:w="108" w:type="dxa"/>
            <w:bottom w:w="0" w:type="dxa"/>
            <w:right w:w="108" w:type="dxa"/>
          </w:tblCellMar>
        </w:tblPrEx>
        <w:trPr>
          <w:trHeight w:val="370" w:hRule="atLeast"/>
          <w:jc w:val="center"/>
        </w:trPr>
        <w:tc>
          <w:tcPr>
            <w:tcW w:w="45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栏次</w:t>
            </w:r>
          </w:p>
        </w:tc>
        <w:tc>
          <w:tcPr>
            <w:tcW w:w="130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w:t>
            </w:r>
          </w:p>
        </w:tc>
        <w:tc>
          <w:tcPr>
            <w:tcW w:w="1455"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w:t>
            </w:r>
          </w:p>
        </w:tc>
        <w:tc>
          <w:tcPr>
            <w:tcW w:w="1500"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3</w:t>
            </w:r>
          </w:p>
        </w:tc>
        <w:tc>
          <w:tcPr>
            <w:tcW w:w="1396"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4</w:t>
            </w:r>
          </w:p>
        </w:tc>
        <w:tc>
          <w:tcPr>
            <w:tcW w:w="1334"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5</w:t>
            </w:r>
          </w:p>
        </w:tc>
        <w:tc>
          <w:tcPr>
            <w:tcW w:w="2697" w:type="dxa"/>
            <w:tcBorders>
              <w:top w:val="nil"/>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6</w:t>
            </w:r>
          </w:p>
        </w:tc>
      </w:tr>
      <w:tr>
        <w:tblPrEx>
          <w:tblLayout w:type="fixed"/>
          <w:tblCellMar>
            <w:top w:w="0" w:type="dxa"/>
            <w:left w:w="108" w:type="dxa"/>
            <w:bottom w:w="0" w:type="dxa"/>
            <w:right w:w="108" w:type="dxa"/>
          </w:tblCellMar>
        </w:tblPrEx>
        <w:trPr>
          <w:trHeight w:val="477" w:hRule="atLeast"/>
          <w:jc w:val="center"/>
        </w:trPr>
        <w:tc>
          <w:tcPr>
            <w:tcW w:w="45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合计</w:t>
            </w:r>
          </w:p>
        </w:tc>
        <w:tc>
          <w:tcPr>
            <w:tcW w:w="130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36,776.92 </w:t>
            </w:r>
          </w:p>
        </w:tc>
        <w:tc>
          <w:tcPr>
            <w:tcW w:w="145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30,014.20 </w:t>
            </w:r>
          </w:p>
        </w:tc>
        <w:tc>
          <w:tcPr>
            <w:tcW w:w="15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6,762.72</w:t>
            </w:r>
          </w:p>
        </w:tc>
        <w:tc>
          <w:tcPr>
            <w:tcW w:w="1396"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2069999</w:t>
            </w:r>
          </w:p>
        </w:tc>
        <w:tc>
          <w:tcPr>
            <w:tcW w:w="3015"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其他科学技术支出</w:t>
            </w:r>
          </w:p>
        </w:tc>
        <w:tc>
          <w:tcPr>
            <w:tcW w:w="130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2.81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5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2.81 </w:t>
            </w:r>
          </w:p>
        </w:tc>
        <w:tc>
          <w:tcPr>
            <w:tcW w:w="1396"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2100201</w:t>
            </w:r>
          </w:p>
        </w:tc>
        <w:tc>
          <w:tcPr>
            <w:tcW w:w="3015"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综合医院</w:t>
            </w:r>
          </w:p>
        </w:tc>
        <w:tc>
          <w:tcPr>
            <w:tcW w:w="130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106.07 </w:t>
            </w:r>
          </w:p>
        </w:tc>
        <w:tc>
          <w:tcPr>
            <w:tcW w:w="145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106.07 </w:t>
            </w:r>
          </w:p>
        </w:tc>
        <w:tc>
          <w:tcPr>
            <w:tcW w:w="150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96"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2100202</w:t>
            </w:r>
          </w:p>
        </w:tc>
        <w:tc>
          <w:tcPr>
            <w:tcW w:w="3015"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中医（民族）医院</w:t>
            </w:r>
          </w:p>
        </w:tc>
        <w:tc>
          <w:tcPr>
            <w:tcW w:w="130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29,908.13 </w:t>
            </w:r>
          </w:p>
        </w:tc>
        <w:tc>
          <w:tcPr>
            <w:tcW w:w="145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29,908.13 </w:t>
            </w:r>
          </w:p>
        </w:tc>
        <w:tc>
          <w:tcPr>
            <w:tcW w:w="150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96"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2100299</w:t>
            </w:r>
          </w:p>
        </w:tc>
        <w:tc>
          <w:tcPr>
            <w:tcW w:w="3015"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其他公立医院支出</w:t>
            </w:r>
          </w:p>
        </w:tc>
        <w:tc>
          <w:tcPr>
            <w:tcW w:w="130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403.58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5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403.58 </w:t>
            </w:r>
          </w:p>
        </w:tc>
        <w:tc>
          <w:tcPr>
            <w:tcW w:w="1396"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2100717</w:t>
            </w:r>
          </w:p>
        </w:tc>
        <w:tc>
          <w:tcPr>
            <w:tcW w:w="3015" w:type="dxa"/>
            <w:tcBorders>
              <w:top w:val="nil"/>
              <w:left w:val="nil"/>
              <w:bottom w:val="single" w:color="auto" w:sz="4" w:space="0"/>
              <w:right w:val="single" w:color="auto" w:sz="4" w:space="0"/>
            </w:tcBorders>
            <w:shd w:val="clear" w:color="000000" w:fill="FFFFFF"/>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计划生育服务</w:t>
            </w:r>
          </w:p>
        </w:tc>
        <w:tc>
          <w:tcPr>
            <w:tcW w:w="130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4.00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5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4.00 </w:t>
            </w:r>
          </w:p>
        </w:tc>
        <w:tc>
          <w:tcPr>
            <w:tcW w:w="1396"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2101199</w:t>
            </w:r>
          </w:p>
        </w:tc>
        <w:tc>
          <w:tcPr>
            <w:tcW w:w="3015"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其他行政事业单位医疗支出</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12.30 </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12.30 </w:t>
            </w:r>
          </w:p>
        </w:tc>
        <w:tc>
          <w:tcPr>
            <w:tcW w:w="13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2101704</w:t>
            </w:r>
          </w:p>
        </w:tc>
        <w:tc>
          <w:tcPr>
            <w:tcW w:w="3015"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中医（民族医）药专项</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155.00 </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155.00 </w:t>
            </w:r>
          </w:p>
        </w:tc>
        <w:tc>
          <w:tcPr>
            <w:tcW w:w="13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2109999</w:t>
            </w:r>
          </w:p>
        </w:tc>
        <w:tc>
          <w:tcPr>
            <w:tcW w:w="3015" w:type="dxa"/>
            <w:tcBorders>
              <w:top w:val="single" w:color="auto" w:sz="4" w:space="0"/>
              <w:left w:val="single" w:color="auto" w:sz="4" w:space="0"/>
              <w:bottom w:val="single" w:color="auto" w:sz="4" w:space="0"/>
              <w:right w:val="single" w:color="auto" w:sz="4" w:space="0"/>
            </w:tcBorders>
            <w:shd w:val="clear" w:color="000000" w:fill="FFFFFF"/>
            <w:vAlign w:val="center"/>
          </w:tcPr>
          <w:p>
            <w:pP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其他卫生健康支出</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5,240.89 </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5,240.89 </w:t>
            </w:r>
          </w:p>
        </w:tc>
        <w:tc>
          <w:tcPr>
            <w:tcW w:w="13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26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r>
      <w:tr>
        <w:tblPrEx>
          <w:tblLayout w:type="fixed"/>
          <w:tblCellMar>
            <w:top w:w="0" w:type="dxa"/>
            <w:left w:w="108" w:type="dxa"/>
            <w:bottom w:w="0" w:type="dxa"/>
            <w:right w:w="108" w:type="dxa"/>
          </w:tblCellMar>
        </w:tblPrEx>
        <w:trPr>
          <w:trHeight w:val="595" w:hRule="atLeast"/>
          <w:jc w:val="center"/>
        </w:trPr>
        <w:tc>
          <w:tcPr>
            <w:tcW w:w="15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2290402</w:t>
            </w:r>
          </w:p>
        </w:tc>
        <w:tc>
          <w:tcPr>
            <w:tcW w:w="3015" w:type="dxa"/>
            <w:tcBorders>
              <w:top w:val="single" w:color="auto" w:sz="4" w:space="0"/>
              <w:left w:val="nil"/>
              <w:bottom w:val="single" w:color="auto" w:sz="4" w:space="0"/>
              <w:right w:val="single" w:color="auto" w:sz="4" w:space="0"/>
            </w:tcBorders>
            <w:shd w:val="clear" w:color="000000" w:fill="FFFFFF"/>
            <w:vAlign w:val="center"/>
          </w:tcPr>
          <w:p>
            <w:pP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其他地方自行试点项目收益专项债券收入安排的支出</w:t>
            </w:r>
          </w:p>
        </w:tc>
        <w:tc>
          <w:tcPr>
            <w:tcW w:w="130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944.13 </w:t>
            </w:r>
          </w:p>
        </w:tc>
        <w:tc>
          <w:tcPr>
            <w:tcW w:w="1455"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50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944.13 </w:t>
            </w:r>
          </w:p>
        </w:tc>
        <w:tc>
          <w:tcPr>
            <w:tcW w:w="1396"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334"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2697"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r>
    </w:tbl>
    <w:p>
      <w:pPr>
        <w:widowControl/>
        <w:spacing w:before="120"/>
        <w:jc w:val="left"/>
        <w:rPr>
          <w:rFonts w:hint="eastAsia" w:ascii="宋体" w:hAnsi="宋体" w:eastAsia="宋体" w:cs="宋体"/>
          <w:color w:val="000000"/>
          <w:kern w:val="0"/>
          <w:sz w:val="22"/>
          <w:szCs w:val="22"/>
        </w:rPr>
      </w:pPr>
      <w:r>
        <w:rPr>
          <w:rFonts w:hint="eastAsia" w:ascii="宋体" w:hAnsi="宋体" w:eastAsia="宋体" w:cs="宋体"/>
          <w:kern w:val="0"/>
          <w:sz w:val="22"/>
          <w:szCs w:val="22"/>
        </w:rPr>
        <w:t>注：本表反映部门本年度各项支出情况。</w:t>
      </w:r>
    </w:p>
    <w:p>
      <w:pPr>
        <w:widowControl/>
        <w:spacing w:after="156" w:afterLines="50"/>
        <w:jc w:val="center"/>
        <w:textAlignment w:val="center"/>
        <w:rPr>
          <w:rFonts w:hint="eastAsia" w:ascii="宋体" w:hAnsi="宋体" w:eastAsia="宋体" w:cs="宋体"/>
          <w:b/>
          <w:bCs/>
          <w:color w:val="000000"/>
          <w:kern w:val="0"/>
          <w:sz w:val="36"/>
          <w:szCs w:val="36"/>
          <w:lang w:bidi="ar"/>
        </w:rPr>
      </w:pPr>
      <w:bookmarkStart w:id="0" w:name="RANGE!A1:I22"/>
      <w:bookmarkEnd w:id="0"/>
      <w:bookmarkStart w:id="1" w:name="RANGE!A1:F16"/>
      <w:r>
        <w:rPr>
          <w:rFonts w:hint="eastAsia" w:ascii="宋体" w:hAnsi="宋体" w:eastAsia="宋体" w:cs="宋体"/>
          <w:b/>
          <w:bCs/>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部门：</w:t>
      </w:r>
      <w:r>
        <w:rPr>
          <w:rFonts w:hint="eastAsia" w:ascii="宋体" w:hAnsi="宋体" w:eastAsia="宋体" w:cs="宋体"/>
          <w:color w:val="000000"/>
          <w:kern w:val="0"/>
          <w:sz w:val="22"/>
          <w:szCs w:val="22"/>
          <w:lang w:eastAsia="zh-CN"/>
        </w:rPr>
        <w:t>永州市中医医院</w:t>
      </w:r>
      <w:r>
        <w:rPr>
          <w:rFonts w:hint="eastAsia" w:ascii="宋体" w:hAnsi="宋体" w:eastAsia="宋体" w:cs="宋体"/>
          <w:color w:val="000000"/>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kern w:val="0"/>
          <w:sz w:val="22"/>
          <w:szCs w:val="22"/>
        </w:rPr>
        <w:tab/>
      </w:r>
      <w:r>
        <w:rPr>
          <w:rFonts w:hint="eastAsia" w:ascii="宋体" w:hAnsi="宋体" w:eastAsia="宋体" w:cs="宋体"/>
          <w:kern w:val="0"/>
          <w:sz w:val="22"/>
          <w:szCs w:val="22"/>
        </w:rPr>
        <w:t>　</w:t>
      </w:r>
      <w:r>
        <w:rPr>
          <w:rFonts w:hint="eastAsia" w:ascii="宋体" w:hAnsi="宋体" w:eastAsia="宋体" w:cs="宋体"/>
          <w:color w:val="000000"/>
          <w:kern w:val="0"/>
          <w:sz w:val="22"/>
          <w:szCs w:val="22"/>
        </w:rPr>
        <w:t>单位：万元</w:t>
      </w:r>
    </w:p>
    <w:tbl>
      <w:tblPr>
        <w:tblStyle w:val="11"/>
        <w:tblW w:w="14220" w:type="dxa"/>
        <w:jc w:val="center"/>
        <w:tblInd w:w="0" w:type="dxa"/>
        <w:tblLayout w:type="fixed"/>
        <w:tblCellMar>
          <w:top w:w="0" w:type="dxa"/>
          <w:left w:w="108" w:type="dxa"/>
          <w:bottom w:w="0" w:type="dxa"/>
          <w:right w:w="108" w:type="dxa"/>
        </w:tblCellMar>
      </w:tblPr>
      <w:tblGrid>
        <w:gridCol w:w="3516"/>
        <w:gridCol w:w="616"/>
        <w:gridCol w:w="1343"/>
        <w:gridCol w:w="1989"/>
        <w:gridCol w:w="616"/>
        <w:gridCol w:w="1310"/>
        <w:gridCol w:w="1455"/>
        <w:gridCol w:w="1424"/>
        <w:gridCol w:w="121"/>
        <w:gridCol w:w="1830"/>
      </w:tblGrid>
      <w:tr>
        <w:tblPrEx>
          <w:tblLayout w:type="fixed"/>
          <w:tblCellMar>
            <w:top w:w="0" w:type="dxa"/>
            <w:left w:w="108" w:type="dxa"/>
            <w:bottom w:w="0" w:type="dxa"/>
            <w:right w:w="108" w:type="dxa"/>
          </w:tblCellMar>
        </w:tblPrEx>
        <w:trPr>
          <w:trHeight w:val="402" w:hRule="atLeast"/>
          <w:jc w:val="center"/>
        </w:trPr>
        <w:tc>
          <w:tcPr>
            <w:tcW w:w="5475"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收入</w:t>
            </w:r>
          </w:p>
        </w:tc>
        <w:tc>
          <w:tcPr>
            <w:tcW w:w="8745" w:type="dxa"/>
            <w:gridSpan w:val="7"/>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支出</w:t>
            </w:r>
          </w:p>
        </w:tc>
      </w:tr>
      <w:tr>
        <w:tblPrEx>
          <w:tblLayout w:type="fixed"/>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项    目</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行次</w:t>
            </w:r>
          </w:p>
        </w:tc>
        <w:tc>
          <w:tcPr>
            <w:tcW w:w="134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金额</w:t>
            </w:r>
          </w:p>
        </w:tc>
        <w:tc>
          <w:tcPr>
            <w:tcW w:w="1989"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项    目</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行次</w:t>
            </w:r>
          </w:p>
        </w:tc>
        <w:tc>
          <w:tcPr>
            <w:tcW w:w="131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合计</w:t>
            </w:r>
          </w:p>
        </w:tc>
        <w:tc>
          <w:tcPr>
            <w:tcW w:w="145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一般公共预算财政拨款</w:t>
            </w:r>
          </w:p>
        </w:tc>
        <w:tc>
          <w:tcPr>
            <w:tcW w:w="1545"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政府性基金预算财政拨款</w:t>
            </w:r>
          </w:p>
        </w:tc>
        <w:tc>
          <w:tcPr>
            <w:tcW w:w="183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国有资本经营预算财政拨款</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栏    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34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w:t>
            </w:r>
          </w:p>
        </w:tc>
        <w:tc>
          <w:tcPr>
            <w:tcW w:w="1989"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栏    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31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w:t>
            </w:r>
          </w:p>
        </w:tc>
        <w:tc>
          <w:tcPr>
            <w:tcW w:w="145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3</w:t>
            </w:r>
          </w:p>
        </w:tc>
        <w:tc>
          <w:tcPr>
            <w:tcW w:w="142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4</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5</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w:t>
            </w:r>
          </w:p>
        </w:tc>
        <w:tc>
          <w:tcPr>
            <w:tcW w:w="13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5,924.66 </w:t>
            </w:r>
          </w:p>
        </w:tc>
        <w:tc>
          <w:tcPr>
            <w:tcW w:w="198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33</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w:t>
            </w:r>
          </w:p>
        </w:tc>
        <w:tc>
          <w:tcPr>
            <w:tcW w:w="134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944.13 </w:t>
            </w:r>
          </w:p>
        </w:tc>
        <w:tc>
          <w:tcPr>
            <w:tcW w:w="198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二、外交支出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34</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3</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三、国防支出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35</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4</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四、公共安全支出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36</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5</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五、教育支出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37</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6</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六、科学技术支出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38</w:t>
            </w:r>
          </w:p>
        </w:tc>
        <w:tc>
          <w:tcPr>
            <w:tcW w:w="13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2.81 </w:t>
            </w:r>
          </w:p>
        </w:tc>
        <w:tc>
          <w:tcPr>
            <w:tcW w:w="145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2.81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7</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七、文化旅游体育与传媒支出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39</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8</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八、社会保障和就业支出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40</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szCs w:val="22"/>
              </w:rPr>
            </w:pP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9</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九、卫生健康支出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41</w:t>
            </w:r>
          </w:p>
        </w:tc>
        <w:tc>
          <w:tcPr>
            <w:tcW w:w="131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5,921.84 </w:t>
            </w:r>
          </w:p>
        </w:tc>
        <w:tc>
          <w:tcPr>
            <w:tcW w:w="145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5,921.84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rPr>
            </w:pPr>
            <w:r>
              <w:rPr>
                <w:rFonts w:hint="eastAsia" w:ascii="宋体" w:hAnsi="宋体" w:eastAsia="宋体" w:cs="宋体"/>
                <w:b w:val="0"/>
                <w:bCs w:val="0"/>
                <w:kern w:val="0"/>
                <w:sz w:val="22"/>
                <w:szCs w:val="22"/>
                <w:lang w:val="en-US" w:eastAsia="zh-CN"/>
              </w:rPr>
              <w:t>0</w:t>
            </w:r>
            <w:r>
              <w:rPr>
                <w:rFonts w:hint="eastAsia" w:ascii="宋体" w:hAnsi="宋体" w:eastAsia="宋体" w:cs="宋体"/>
                <w:b w:val="0"/>
                <w:bCs w:val="0"/>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10</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十、节能环保支出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42</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11</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十一、城乡社区支出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43</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12</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十二、农林水支出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44</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13</w:t>
            </w:r>
          </w:p>
        </w:tc>
        <w:tc>
          <w:tcPr>
            <w:tcW w:w="1343"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十三、交通运输支出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45</w:t>
            </w:r>
          </w:p>
        </w:tc>
        <w:tc>
          <w:tcPr>
            <w:tcW w:w="131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55"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424"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1951" w:type="dxa"/>
            <w:gridSpan w:val="2"/>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14</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46</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rPr>
            </w:pPr>
            <w:r>
              <w:rPr>
                <w:rFonts w:hint="eastAsia" w:ascii="宋体" w:hAnsi="宋体" w:eastAsia="宋体" w:cs="宋体"/>
                <w:b w:val="0"/>
                <w:bCs w:val="0"/>
                <w:kern w:val="0"/>
                <w:sz w:val="22"/>
                <w:szCs w:val="22"/>
                <w:lang w:val="en-US" w:eastAsia="zh-CN"/>
              </w:rPr>
              <w:t>0</w:t>
            </w:r>
            <w:r>
              <w:rPr>
                <w:rFonts w:hint="eastAsia" w:ascii="宋体" w:hAnsi="宋体" w:eastAsia="宋体" w:cs="宋体"/>
                <w:b w:val="0"/>
                <w:bCs w:val="0"/>
                <w:kern w:val="0"/>
                <w:sz w:val="22"/>
                <w:szCs w:val="22"/>
              </w:rPr>
              <w:t>　</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rPr>
            </w:pPr>
            <w:r>
              <w:rPr>
                <w:rFonts w:hint="eastAsia" w:ascii="宋体" w:hAnsi="宋体" w:eastAsia="宋体" w:cs="宋体"/>
                <w:b w:val="0"/>
                <w:bCs w:val="0"/>
                <w:kern w:val="0"/>
                <w:sz w:val="22"/>
                <w:szCs w:val="22"/>
                <w:lang w:val="en-US" w:eastAsia="zh-CN"/>
              </w:rPr>
              <w:t>0</w:t>
            </w:r>
            <w:r>
              <w:rPr>
                <w:rFonts w:hint="eastAsia" w:ascii="宋体" w:hAnsi="宋体" w:eastAsia="宋体" w:cs="宋体"/>
                <w:b w:val="0"/>
                <w:bCs w:val="0"/>
                <w:kern w:val="0"/>
                <w:sz w:val="22"/>
                <w:szCs w:val="22"/>
              </w:rPr>
              <w:t>　</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rPr>
            </w:pPr>
            <w:r>
              <w:rPr>
                <w:rFonts w:hint="eastAsia" w:ascii="宋体" w:hAnsi="宋体" w:eastAsia="宋体" w:cs="宋体"/>
                <w:b w:val="0"/>
                <w:bCs w:val="0"/>
                <w:kern w:val="0"/>
                <w:sz w:val="22"/>
                <w:szCs w:val="22"/>
                <w:lang w:val="en-US" w:eastAsia="zh-CN"/>
              </w:rPr>
              <w:t>0</w:t>
            </w:r>
            <w:r>
              <w:rPr>
                <w:rFonts w:hint="eastAsia" w:ascii="宋体" w:hAnsi="宋体" w:eastAsia="宋体" w:cs="宋体"/>
                <w:b w:val="0"/>
                <w:bCs w:val="0"/>
                <w:kern w:val="0"/>
                <w:sz w:val="22"/>
                <w:szCs w:val="22"/>
              </w:rPr>
              <w:t>　</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rPr>
            </w:pPr>
            <w:r>
              <w:rPr>
                <w:rFonts w:hint="eastAsia" w:ascii="宋体" w:hAnsi="宋体" w:eastAsia="宋体" w:cs="宋体"/>
                <w:b w:val="0"/>
                <w:bCs w:val="0"/>
                <w:kern w:val="0"/>
                <w:sz w:val="22"/>
                <w:szCs w:val="22"/>
                <w:lang w:val="en-US" w:eastAsia="zh-CN"/>
              </w:rPr>
              <w:t>0</w:t>
            </w:r>
            <w:r>
              <w:rPr>
                <w:rFonts w:hint="eastAsia" w:ascii="宋体" w:hAnsi="宋体" w:eastAsia="宋体" w:cs="宋体"/>
                <w:b w:val="0"/>
                <w:bCs w:val="0"/>
                <w:kern w:val="0"/>
                <w:sz w:val="22"/>
                <w:szCs w:val="22"/>
              </w:rPr>
              <w:t>　</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15</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十五、商业服务业等支出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47</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16</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十六、金融支出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48</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17</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十七、援助其他地区支出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49</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18</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50</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19</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十九、住房保障支出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51</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20</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二十、粮油物资储备支出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52</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21</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53</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22</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54</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23</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二十三、其他支出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55</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宋体" w:hAnsi="宋体" w:eastAsia="宋体" w:cs="宋体"/>
                <w:b w:val="0"/>
                <w:bCs w:val="0"/>
                <w:kern w:val="0"/>
                <w:sz w:val="22"/>
                <w:szCs w:val="22"/>
              </w:rPr>
            </w:pPr>
            <w:r>
              <w:rPr>
                <w:rFonts w:hint="eastAsia" w:ascii="宋体" w:hAnsi="宋体" w:eastAsia="宋体" w:cs="宋体"/>
                <w:b w:val="0"/>
                <w:bCs w:val="0"/>
                <w:i w:val="0"/>
                <w:color w:val="000000"/>
                <w:kern w:val="0"/>
                <w:sz w:val="22"/>
                <w:szCs w:val="22"/>
                <w:u w:val="none"/>
                <w:lang w:val="en-US" w:eastAsia="zh-CN" w:bidi="ar"/>
              </w:rPr>
              <w:t xml:space="preserve"> 944.13 </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kern w:val="0"/>
                <w:sz w:val="22"/>
                <w:szCs w:val="22"/>
              </w:rPr>
            </w:pPr>
            <w:r>
              <w:rPr>
                <w:rFonts w:hint="eastAsia" w:ascii="宋体" w:hAnsi="宋体" w:eastAsia="宋体" w:cs="宋体"/>
                <w:b w:val="0"/>
                <w:bCs w:val="0"/>
                <w:i w:val="0"/>
                <w:color w:val="000000"/>
                <w:kern w:val="0"/>
                <w:sz w:val="22"/>
                <w:szCs w:val="22"/>
                <w:u w:val="none"/>
                <w:lang w:val="en-US" w:eastAsia="zh-CN" w:bidi="ar"/>
              </w:rPr>
              <w:t xml:space="preserve"> 944.13 </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24</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二十四、债务还本支出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56</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25</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二十五、债务付息支出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57</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26</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58</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b/>
                <w:bCs/>
                <w:kern w:val="0"/>
                <w:sz w:val="22"/>
                <w:szCs w:val="22"/>
              </w:rPr>
              <w:t>本年收入合计</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27</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6,868.79 </w:t>
            </w: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b/>
                <w:bCs/>
                <w:kern w:val="0"/>
                <w:sz w:val="22"/>
                <w:szCs w:val="22"/>
              </w:rPr>
              <w:t>本年支出合计</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59</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宋体" w:hAnsi="宋体" w:eastAsia="宋体" w:cs="宋体"/>
                <w:b w:val="0"/>
                <w:bCs w:val="0"/>
                <w:kern w:val="0"/>
                <w:sz w:val="22"/>
                <w:szCs w:val="22"/>
              </w:rPr>
            </w:pPr>
            <w:r>
              <w:rPr>
                <w:rFonts w:hint="eastAsia" w:ascii="宋体" w:hAnsi="宋体" w:eastAsia="宋体" w:cs="宋体"/>
                <w:b w:val="0"/>
                <w:bCs w:val="0"/>
                <w:i w:val="0"/>
                <w:color w:val="000000"/>
                <w:kern w:val="0"/>
                <w:sz w:val="22"/>
                <w:szCs w:val="22"/>
                <w:u w:val="none"/>
                <w:lang w:val="en-US" w:eastAsia="zh-CN" w:bidi="ar"/>
              </w:rPr>
              <w:t xml:space="preserve"> 6,868.79 </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宋体" w:hAnsi="宋体" w:eastAsia="宋体" w:cs="宋体"/>
                <w:b w:val="0"/>
                <w:bCs w:val="0"/>
                <w:kern w:val="0"/>
                <w:sz w:val="22"/>
                <w:szCs w:val="22"/>
              </w:rPr>
            </w:pPr>
            <w:r>
              <w:rPr>
                <w:rFonts w:hint="eastAsia" w:ascii="宋体" w:hAnsi="宋体" w:eastAsia="宋体" w:cs="宋体"/>
                <w:b w:val="0"/>
                <w:bCs w:val="0"/>
                <w:i w:val="0"/>
                <w:color w:val="000000"/>
                <w:kern w:val="0"/>
                <w:sz w:val="22"/>
                <w:szCs w:val="22"/>
                <w:u w:val="none"/>
                <w:lang w:val="en-US" w:eastAsia="zh-CN" w:bidi="ar"/>
              </w:rPr>
              <w:t xml:space="preserve"> 5,924.66 </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kern w:val="0"/>
                <w:sz w:val="22"/>
                <w:szCs w:val="22"/>
              </w:rPr>
            </w:pPr>
            <w:r>
              <w:rPr>
                <w:rFonts w:hint="eastAsia" w:ascii="宋体" w:hAnsi="宋体" w:eastAsia="宋体" w:cs="宋体"/>
                <w:b w:val="0"/>
                <w:bCs w:val="0"/>
                <w:i w:val="0"/>
                <w:color w:val="000000"/>
                <w:kern w:val="0"/>
                <w:sz w:val="22"/>
                <w:szCs w:val="22"/>
                <w:u w:val="none"/>
                <w:lang w:val="en-US" w:eastAsia="zh-CN" w:bidi="ar"/>
              </w:rPr>
              <w:t xml:space="preserve"> 944.13 </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kern w:val="0"/>
                <w:sz w:val="22"/>
                <w:szCs w:val="22"/>
              </w:rPr>
              <w:t>年初财政拨款结转和结余</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28</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kern w:val="0"/>
                <w:sz w:val="22"/>
                <w:szCs w:val="22"/>
              </w:rPr>
              <w:t>年末财政拨款结转和结余</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60</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kern w:val="0"/>
                <w:sz w:val="22"/>
                <w:szCs w:val="22"/>
              </w:rPr>
              <w:t xml:space="preserve">   一般公共预算财政拨款</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29</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b/>
                <w:bCs/>
                <w:kern w:val="0"/>
                <w:sz w:val="22"/>
                <w:szCs w:val="22"/>
              </w:rPr>
            </w:pPr>
            <w:r>
              <w:rPr>
                <w:rFonts w:hint="eastAsia" w:ascii="宋体" w:hAnsi="宋体" w:eastAsia="宋体" w:cs="宋体"/>
                <w:kern w:val="0"/>
                <w:sz w:val="22"/>
                <w:szCs w:val="22"/>
              </w:rPr>
              <w:t>　</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61</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kern w:val="0"/>
                <w:sz w:val="22"/>
                <w:szCs w:val="22"/>
              </w:rPr>
            </w:pP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kern w:val="0"/>
                <w:sz w:val="22"/>
                <w:szCs w:val="22"/>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bCs/>
                <w:kern w:val="0"/>
                <w:sz w:val="22"/>
                <w:szCs w:val="22"/>
              </w:rPr>
            </w:pP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kern w:val="0"/>
                <w:sz w:val="22"/>
                <w:szCs w:val="22"/>
              </w:rPr>
              <w:t xml:space="preserve">     政府性基金预算财政拨款</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30</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b/>
                <w:bCs/>
                <w:kern w:val="0"/>
                <w:sz w:val="22"/>
                <w:szCs w:val="22"/>
                <w:lang w:val="en-US" w:eastAsia="zh-CN"/>
              </w:rPr>
            </w:pPr>
            <w:r>
              <w:rPr>
                <w:rFonts w:hint="eastAsia" w:ascii="宋体" w:hAnsi="宋体" w:eastAsia="宋体" w:cs="宋体"/>
                <w:kern w:val="0"/>
                <w:sz w:val="22"/>
                <w:szCs w:val="22"/>
              </w:rPr>
              <w:t>　</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62</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kern w:val="0"/>
                <w:sz w:val="22"/>
                <w:szCs w:val="22"/>
              </w:rPr>
            </w:pP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kern w:val="0"/>
                <w:sz w:val="22"/>
                <w:szCs w:val="22"/>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bCs/>
                <w:kern w:val="0"/>
                <w:sz w:val="22"/>
                <w:szCs w:val="22"/>
              </w:rPr>
            </w:pP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kern w:val="0"/>
                <w:sz w:val="22"/>
                <w:szCs w:val="22"/>
              </w:rPr>
              <w:t xml:space="preserve">      国有资本经营预算财政拨款</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31</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b/>
                <w:bCs/>
                <w:kern w:val="0"/>
                <w:sz w:val="22"/>
                <w:szCs w:val="22"/>
                <w:lang w:val="en-US" w:eastAsia="zh-CN"/>
              </w:rPr>
            </w:pPr>
            <w:r>
              <w:rPr>
                <w:rFonts w:hint="eastAsia" w:ascii="宋体" w:hAnsi="宋体" w:eastAsia="宋体" w:cs="宋体"/>
                <w:kern w:val="0"/>
                <w:sz w:val="22"/>
                <w:szCs w:val="22"/>
              </w:rPr>
              <w:t>　</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63</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kern w:val="0"/>
                <w:sz w:val="22"/>
                <w:szCs w:val="22"/>
              </w:rPr>
            </w:pP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right"/>
              <w:rPr>
                <w:rFonts w:hint="eastAsia" w:ascii="宋体" w:hAnsi="宋体" w:eastAsia="宋体" w:cs="宋体"/>
                <w:kern w:val="0"/>
                <w:sz w:val="22"/>
                <w:szCs w:val="22"/>
              </w:rPr>
            </w:pP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bCs/>
                <w:kern w:val="0"/>
                <w:sz w:val="22"/>
                <w:szCs w:val="22"/>
              </w:rPr>
            </w:pP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5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b/>
                <w:bCs/>
                <w:kern w:val="0"/>
                <w:sz w:val="22"/>
                <w:szCs w:val="22"/>
              </w:rPr>
              <w:t>总计</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32</w:t>
            </w:r>
          </w:p>
        </w:tc>
        <w:tc>
          <w:tcPr>
            <w:tcW w:w="134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6,868.79 </w:t>
            </w:r>
          </w:p>
        </w:tc>
        <w:tc>
          <w:tcPr>
            <w:tcW w:w="198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b/>
                <w:bCs/>
                <w:kern w:val="0"/>
                <w:sz w:val="22"/>
                <w:szCs w:val="22"/>
              </w:rPr>
            </w:pPr>
            <w:r>
              <w:rPr>
                <w:rFonts w:hint="eastAsia" w:ascii="宋体" w:hAnsi="宋体" w:eastAsia="宋体" w:cs="宋体"/>
                <w:kern w:val="0"/>
                <w:sz w:val="22"/>
                <w:szCs w:val="22"/>
              </w:rPr>
              <w:t>　</w:t>
            </w:r>
            <w:r>
              <w:rPr>
                <w:rFonts w:hint="eastAsia" w:ascii="宋体" w:hAnsi="宋体" w:eastAsia="宋体" w:cs="宋体"/>
                <w:b/>
                <w:bCs/>
                <w:kern w:val="0"/>
                <w:sz w:val="22"/>
                <w:szCs w:val="22"/>
              </w:rPr>
              <w:t>总计</w:t>
            </w:r>
          </w:p>
        </w:tc>
        <w:tc>
          <w:tcPr>
            <w:tcW w:w="6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64</w:t>
            </w:r>
          </w:p>
        </w:tc>
        <w:tc>
          <w:tcPr>
            <w:tcW w:w="131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6,868.79 </w:t>
            </w:r>
          </w:p>
        </w:tc>
        <w:tc>
          <w:tcPr>
            <w:tcW w:w="145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5,924.66 </w:t>
            </w:r>
          </w:p>
        </w:tc>
        <w:tc>
          <w:tcPr>
            <w:tcW w:w="142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kern w:val="0"/>
                <w:sz w:val="22"/>
                <w:szCs w:val="22"/>
              </w:rPr>
            </w:pPr>
            <w:r>
              <w:rPr>
                <w:rFonts w:hint="eastAsia" w:ascii="宋体" w:hAnsi="宋体" w:eastAsia="宋体" w:cs="宋体"/>
                <w:i w:val="0"/>
                <w:color w:val="000000"/>
                <w:kern w:val="0"/>
                <w:sz w:val="22"/>
                <w:szCs w:val="22"/>
                <w:u w:val="none"/>
                <w:lang w:val="en-US" w:eastAsia="zh-CN" w:bidi="ar"/>
              </w:rPr>
              <w:t xml:space="preserve"> 944.13 </w:t>
            </w:r>
          </w:p>
        </w:tc>
        <w:tc>
          <w:tcPr>
            <w:tcW w:w="19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b w:val="0"/>
                <w:bCs w:val="0"/>
                <w:kern w:val="0"/>
                <w:sz w:val="22"/>
                <w:szCs w:val="22"/>
                <w:lang w:val="en-US" w:eastAsia="zh-CN"/>
              </w:rPr>
            </w:pPr>
            <w:r>
              <w:rPr>
                <w:rFonts w:hint="eastAsia" w:ascii="宋体" w:hAnsi="宋体" w:eastAsia="宋体" w:cs="宋体"/>
                <w:b w:val="0"/>
                <w:bCs w:val="0"/>
                <w:kern w:val="0"/>
                <w:sz w:val="22"/>
                <w:szCs w:val="22"/>
                <w:lang w:val="en-US" w:eastAsia="zh-CN"/>
              </w:rPr>
              <w:t>0</w:t>
            </w:r>
          </w:p>
        </w:tc>
      </w:tr>
    </w:tbl>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注：</w:t>
      </w:r>
      <w:r>
        <w:rPr>
          <w:rFonts w:hint="eastAsia" w:ascii="宋体" w:hAnsi="宋体" w:eastAsia="宋体" w:cs="宋体"/>
          <w:spacing w:val="-6"/>
          <w:kern w:val="0"/>
          <w:sz w:val="22"/>
          <w:szCs w:val="22"/>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：永州市中医医院</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Ind w:w="0" w:type="dxa"/>
        <w:tblLayout w:type="fixed"/>
        <w:tblCellMar>
          <w:top w:w="0" w:type="dxa"/>
          <w:left w:w="108" w:type="dxa"/>
          <w:bottom w:w="0" w:type="dxa"/>
          <w:right w:w="108" w:type="dxa"/>
        </w:tblCellMar>
      </w:tblPr>
      <w:tblGrid>
        <w:gridCol w:w="1200"/>
        <w:gridCol w:w="3527"/>
        <w:gridCol w:w="3000"/>
        <w:gridCol w:w="3492"/>
        <w:gridCol w:w="3000"/>
      </w:tblGrid>
      <w:tr>
        <w:tblPrEx>
          <w:tblLayout w:type="fixed"/>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3</w:t>
            </w: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5,924.66</w:t>
            </w:r>
            <w:r>
              <w:rPr>
                <w:rFonts w:hint="eastAsia" w:ascii="宋体" w:hAnsi="宋体" w:eastAsia="宋体" w:cs="宋体"/>
                <w:kern w:val="0"/>
                <w:sz w:val="22"/>
                <w:szCs w:val="22"/>
              </w:rPr>
              <w:t>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106.07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5,818.59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2069999　</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其他科学技术支出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2.81</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2.81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综合医院</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106.07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106.07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其他公立医院支出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403.58</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403.58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2100717　</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计划生育服务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4.00</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4.00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2101199　</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其他行政事业单位医疗支出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12.30</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12.30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2101704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中医（民族医）药专项</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155.00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0</w:t>
            </w:r>
            <w:r>
              <w:rPr>
                <w:rFonts w:hint="eastAsia" w:ascii="宋体" w:hAnsi="宋体" w:eastAsia="宋体" w:cs="宋体"/>
                <w:kern w:val="0"/>
                <w:sz w:val="22"/>
                <w:szCs w:val="22"/>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155.00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szCs w:val="22"/>
              </w:rPr>
            </w:pPr>
            <w:r>
              <w:rPr>
                <w:rFonts w:hint="eastAsia" w:ascii="宋体" w:hAnsi="宋体" w:eastAsia="宋体" w:cs="宋体"/>
                <w:kern w:val="0"/>
                <w:sz w:val="22"/>
                <w:szCs w:val="22"/>
              </w:rPr>
              <w:t>2109999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其他卫生健康支出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5,240.89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kern w:val="0"/>
                <w:sz w:val="22"/>
                <w:szCs w:val="22"/>
              </w:rPr>
            </w:pPr>
            <w:r>
              <w:rPr>
                <w:rFonts w:hint="eastAsia" w:ascii="宋体" w:hAnsi="宋体" w:eastAsia="宋体" w:cs="宋体"/>
                <w:i w:val="0"/>
                <w:color w:val="000000"/>
                <w:kern w:val="0"/>
                <w:sz w:val="22"/>
                <w:szCs w:val="22"/>
                <w:u w:val="none"/>
                <w:lang w:val="en-US" w:eastAsia="zh-CN" w:bidi="ar"/>
              </w:rPr>
              <w:t xml:space="preserve"> 5,240.89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永州市中医医院</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Ind w:w="0" w:type="dxa"/>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Layout w:type="fixed"/>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工资福利支出</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106.07106.07</w:t>
            </w:r>
            <w:r>
              <w:rPr>
                <w:rFonts w:hint="eastAsia" w:ascii="宋体" w:hAnsi="宋体" w:eastAsia="宋体" w:cs="宋体"/>
                <w:color w:val="auto"/>
                <w:kern w:val="0"/>
                <w:sz w:val="22"/>
                <w:szCs w:val="22"/>
                <w:lang w:val="en-US" w:eastAsia="zh-CN"/>
              </w:rPr>
              <w:t>106410106..</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商品和服务支出</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债务利息及费用支出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106.07106.07106.07</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办公费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30701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30102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印刷费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30702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奖金</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30203</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咨询费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资本性支出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30106</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手续费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30107</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水费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30108</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电费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31003</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30109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邮电费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31005</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30110</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取暖费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31006</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30111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30209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30112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差旅费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31008</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30113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31009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30114</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医疗费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30213</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30199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租赁费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31011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对个人和家庭的补助</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会议费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31012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离休费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培训费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31013</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退休费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31019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30218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31021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30304</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抚恤金</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30224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31022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30305</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30225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31099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30306</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救济费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30226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劳务费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其他支出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30307</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30227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39907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30308</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助学金</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30228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39908</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30309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奖励金</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30229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福利费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39909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经常性赠与</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资本性赠与</w:t>
            </w:r>
          </w:p>
          <w:p>
            <w:pPr>
              <w:widowControl/>
              <w:jc w:val="left"/>
              <w:rPr>
                <w:rFonts w:hint="eastAsia" w:ascii="宋体" w:hAnsi="宋体" w:eastAsia="宋体" w:cs="宋体"/>
                <w:color w:val="000000"/>
                <w:kern w:val="0"/>
                <w:sz w:val="22"/>
                <w:szCs w:val="22"/>
              </w:rPr>
            </w:pPr>
          </w:p>
          <w:tbl>
            <w:tblPr>
              <w:tblStyle w:val="11"/>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 xml:space="preserve">  资本性赠与</w:t>
                  </w:r>
                </w:p>
              </w:tc>
            </w:tr>
          </w:tbl>
          <w:p>
            <w:pPr>
              <w:widowControl/>
              <w:jc w:val="left"/>
              <w:rPr>
                <w:rFonts w:hint="eastAsia" w:ascii="宋体" w:hAnsi="宋体" w:eastAsia="宋体" w:cs="宋体"/>
                <w:color w:val="000000"/>
                <w:kern w:val="0"/>
                <w:sz w:val="22"/>
                <w:szCs w:val="22"/>
              </w:rPr>
            </w:pPr>
          </w:p>
          <w:tbl>
            <w:tblPr>
              <w:tblStyle w:val="11"/>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 xml:space="preserve">  资本性赠与</w:t>
                  </w:r>
                </w:p>
              </w:tc>
            </w:tr>
          </w:tbl>
          <w:p>
            <w:pPr>
              <w:widowControl/>
              <w:jc w:val="left"/>
              <w:rPr>
                <w:rFonts w:hint="eastAsia" w:ascii="宋体" w:hAnsi="宋体" w:eastAsia="宋体" w:cs="宋体"/>
                <w:color w:val="000000"/>
                <w:kern w:val="0"/>
                <w:sz w:val="22"/>
                <w:szCs w:val="22"/>
              </w:rPr>
            </w:pP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30310</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30231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39910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30311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30239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39999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30399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rPr>
              <w:t>　</w:t>
            </w:r>
            <w:r>
              <w:rPr>
                <w:rFonts w:hint="eastAsia" w:ascii="宋体" w:hAnsi="宋体" w:eastAsia="宋体" w:cs="宋体"/>
                <w:color w:val="auto"/>
                <w:kern w:val="0"/>
                <w:sz w:val="22"/>
                <w:szCs w:val="22"/>
                <w:lang w:val="en-US" w:eastAsia="zh-CN"/>
              </w:rPr>
              <w:t>0</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30240</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30299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　</w:t>
            </w:r>
            <w:r>
              <w:rPr>
                <w:rFonts w:hint="eastAsia" w:ascii="宋体" w:hAnsi="宋体" w:eastAsia="宋体" w:cs="宋体"/>
                <w:color w:val="000000"/>
                <w:kern w:val="0"/>
                <w:sz w:val="22"/>
                <w:szCs w:val="22"/>
                <w:lang w:val="en-US" w:eastAsia="zh-CN"/>
              </w:rPr>
              <w:t>0</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tblPrEx>
          <w:tblLayout w:type="fixed"/>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人员经费合计</w:t>
            </w:r>
          </w:p>
        </w:tc>
        <w:tc>
          <w:tcPr>
            <w:tcW w:w="96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106.07</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公用经费合计</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永州市中医医院</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Ind w:w="0" w:type="dxa"/>
        <w:tblLayout w:type="fixed"/>
        <w:tblCellMar>
          <w:top w:w="0" w:type="dxa"/>
          <w:left w:w="108" w:type="dxa"/>
          <w:bottom w:w="0" w:type="dxa"/>
          <w:right w:w="108" w:type="dxa"/>
        </w:tblCellMar>
      </w:tblPr>
      <w:tblGrid>
        <w:gridCol w:w="1103"/>
        <w:gridCol w:w="2505"/>
        <w:gridCol w:w="1365"/>
        <w:gridCol w:w="1662"/>
        <w:gridCol w:w="1919"/>
        <w:gridCol w:w="1935"/>
        <w:gridCol w:w="1918"/>
        <w:gridCol w:w="1919"/>
      </w:tblGrid>
      <w:tr>
        <w:tblPrEx>
          <w:tblLayout w:type="fixed"/>
          <w:tblCellMar>
            <w:top w:w="0" w:type="dxa"/>
            <w:left w:w="108" w:type="dxa"/>
            <w:bottom w:w="0" w:type="dxa"/>
            <w:right w:w="108" w:type="dxa"/>
          </w:tblCellMar>
        </w:tblPrEx>
        <w:trPr>
          <w:trHeight w:val="459" w:hRule="atLeast"/>
          <w:jc w:val="center"/>
        </w:trPr>
        <w:tc>
          <w:tcPr>
            <w:tcW w:w="3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Layout w:type="fixed"/>
          <w:tblCellMar>
            <w:top w:w="0" w:type="dxa"/>
            <w:left w:w="108" w:type="dxa"/>
            <w:bottom w:w="0" w:type="dxa"/>
            <w:right w:w="108" w:type="dxa"/>
          </w:tblCellMar>
        </w:tblPrEx>
        <w:trPr>
          <w:trHeight w:val="312" w:hRule="exact"/>
          <w:jc w:val="center"/>
        </w:trPr>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409" w:hRule="atLeas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3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Layout w:type="fixed"/>
          <w:tblCellMar>
            <w:top w:w="0" w:type="dxa"/>
            <w:left w:w="108" w:type="dxa"/>
            <w:bottom w:w="0" w:type="dxa"/>
            <w:right w:w="108" w:type="dxa"/>
          </w:tblCellMar>
        </w:tblPrEx>
        <w:trPr>
          <w:trHeight w:val="509" w:hRule="atLeast"/>
          <w:jc w:val="center"/>
        </w:trPr>
        <w:tc>
          <w:tcPr>
            <w:tcW w:w="3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944.13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944.13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944.13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Layout w:type="fixed"/>
          <w:tblCellMar>
            <w:top w:w="0" w:type="dxa"/>
            <w:left w:w="108" w:type="dxa"/>
            <w:bottom w:w="0" w:type="dxa"/>
            <w:right w:w="108" w:type="dxa"/>
          </w:tblCellMar>
        </w:tblPrEx>
        <w:trPr>
          <w:trHeight w:val="509" w:hRule="atLeas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2290402</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其他地方自行试点项目收益专项债券收入安排的支出</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944.13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944.13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944.13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Layout w:type="fixed"/>
          <w:tblCellMar>
            <w:top w:w="0" w:type="dxa"/>
            <w:left w:w="108" w:type="dxa"/>
            <w:bottom w:w="0" w:type="dxa"/>
            <w:right w:w="108" w:type="dxa"/>
          </w:tblCellMar>
        </w:tblPrEx>
        <w:trPr>
          <w:trHeight w:val="509" w:hRule="atLeas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永州市中医医院</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Layout w:type="fixed"/>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Layout w:type="fixed"/>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永州市中医医院</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14544" w:type="dxa"/>
        <w:jc w:val="center"/>
        <w:tblInd w:w="0" w:type="dxa"/>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Layout w:type="fixed"/>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Layout w:type="fixed"/>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Layout w:type="fixed"/>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Layout w:type="fixed"/>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val="0"/>
                <w:bCs w:val="0"/>
                <w:color w:val="000000"/>
                <w:sz w:val="22"/>
                <w:lang w:val="en-US" w:eastAsia="zh-CN"/>
              </w:rPr>
            </w:pPr>
            <w:r>
              <w:rPr>
                <w:rFonts w:hint="eastAsia" w:ascii="宋体" w:hAnsi="宋体" w:eastAsia="宋体" w:cs="宋体"/>
                <w:b w:val="0"/>
                <w:bCs w:val="0"/>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numPr>
          <w:ilvl w:val="0"/>
          <w:numId w:val="1"/>
        </w:numPr>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收入支出决算总体情况说明</w:t>
      </w:r>
    </w:p>
    <w:p>
      <w:pPr>
        <w:snapToGrid w:val="0"/>
        <w:spacing w:line="520" w:lineRule="exact"/>
        <w:ind w:firstLine="640" w:firstLineChars="200"/>
        <w:jc w:val="both"/>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2025年度收入总计37,096.34万元、支出总计36,776.92万元，使用非财政拨款结余0.00万元，结余分配319.42万元后，年末结转结余0.00万元。与上年相比，收入减少1,367.74万元，降低4%；支出增加1,216.48万元，增长3%。</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color w:val="000000"/>
          <w:kern w:val="0"/>
          <w:sz w:val="32"/>
          <w:szCs w:val="32"/>
          <w:highlight w:val="none"/>
          <w:lang w:val="en-US" w:eastAsia="zh-CN" w:bidi="ar-SA"/>
        </w:rPr>
        <w:t>2025年度收入合计37,096.34万元，其中：财政拨款收入6,868.79万元，占18.51%；事业收入30,222.89万元，占81.48%；其他收入4.66万元，占0.01%；</w:t>
      </w:r>
      <w:r>
        <w:rPr>
          <w:rFonts w:ascii="Times New Roman" w:hAnsi="Times New Roman" w:eastAsia="仿宋_GB2312" w:cs="Times New Roman"/>
          <w:sz w:val="32"/>
          <w:szCs w:val="32"/>
          <w:highlight w:val="none"/>
        </w:rPr>
        <w:t>上级补助收入</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%；经营收入</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%；附属单位上缴收入</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color w:val="000000"/>
          <w:kern w:val="0"/>
          <w:sz w:val="32"/>
          <w:szCs w:val="32"/>
          <w:highlight w:val="none"/>
          <w:lang w:val="en-US" w:eastAsia="zh-CN" w:bidi="ar-SA"/>
        </w:rPr>
        <w:t>。</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三、支出决算情况说明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highlight w:val="none"/>
          <w:lang w:val="en-US" w:eastAsia="zh-CN" w:bidi="ar-SA"/>
        </w:rPr>
      </w:pPr>
      <w:r>
        <w:rPr>
          <w:rFonts w:hint="eastAsia" w:ascii="Times New Roman" w:hAnsi="Times New Roman" w:eastAsia="仿宋_GB2312" w:cs="Times New Roman"/>
          <w:color w:val="000000"/>
          <w:kern w:val="0"/>
          <w:sz w:val="32"/>
          <w:szCs w:val="32"/>
          <w:highlight w:val="none"/>
          <w:lang w:val="en-US" w:eastAsia="zh-CN" w:bidi="ar-SA"/>
        </w:rPr>
        <w:t>2025年度支出合计36,776.92万元，其中：基本支出30,014.20万元，占82%；项目支出6,762.72万元，占18%；</w:t>
      </w:r>
      <w:r>
        <w:rPr>
          <w:rFonts w:ascii="Times New Roman" w:hAnsi="Times New Roman" w:eastAsia="仿宋_GB2312" w:cs="Times New Roman"/>
          <w:sz w:val="32"/>
          <w:szCs w:val="32"/>
          <w:highlight w:val="none"/>
        </w:rPr>
        <w:t>上缴上级支出</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%；经营支出</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%；对附属单位补助支出</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color w:val="000000"/>
          <w:kern w:val="0"/>
          <w:sz w:val="32"/>
          <w:szCs w:val="32"/>
          <w:highlight w:val="none"/>
          <w:lang w:val="en-US" w:eastAsia="zh-CN" w:bidi="ar-SA"/>
        </w:rPr>
        <w:t>。</w:t>
      </w:r>
    </w:p>
    <w:p>
      <w:pPr>
        <w:pStyle w:val="14"/>
        <w:numPr>
          <w:ilvl w:val="0"/>
          <w:numId w:val="2"/>
        </w:numPr>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财政拨款收入支出决算总体情况说明</w:t>
      </w:r>
    </w:p>
    <w:p>
      <w:pPr>
        <w:ind w:firstLine="640" w:firstLineChars="200"/>
        <w:rPr>
          <w:rFonts w:ascii="仿宋_GB2312" w:hAnsi="仿宋_GB2312" w:eastAsia="仿宋_GB2312" w:cs="仿宋_GB2312"/>
          <w:sz w:val="32"/>
          <w:highlight w:val="none"/>
        </w:rPr>
      </w:pPr>
      <w:r>
        <w:rPr>
          <w:rFonts w:ascii="仿宋_GB2312" w:hAnsi="Calibri" w:eastAsia="仿宋_GB2312" w:cs="仿宋_GB2312"/>
          <w:sz w:val="32"/>
          <w:szCs w:val="32"/>
          <w:highlight w:val="none"/>
        </w:rPr>
        <w:t>202</w:t>
      </w:r>
      <w:r>
        <w:rPr>
          <w:rFonts w:hint="eastAsia" w:ascii="仿宋_GB2312" w:hAnsi="Calibri" w:eastAsia="仿宋_GB2312" w:cs="仿宋_GB2312"/>
          <w:sz w:val="32"/>
          <w:szCs w:val="32"/>
          <w:highlight w:val="none"/>
          <w:lang w:val="en-US" w:eastAsia="zh-CN"/>
        </w:rPr>
        <w:t>5</w:t>
      </w:r>
      <w:r>
        <w:rPr>
          <w:rFonts w:ascii="仿宋_GB2312" w:hAnsi="Calibri" w:eastAsia="仿宋_GB2312" w:cs="仿宋_GB2312"/>
          <w:sz w:val="32"/>
          <w:szCs w:val="32"/>
          <w:highlight w:val="none"/>
        </w:rPr>
        <w:t>年度</w:t>
      </w:r>
      <w:r>
        <w:rPr>
          <w:rFonts w:hint="eastAsia" w:ascii="仿宋_GB2312" w:hAnsi="仿宋_GB2312" w:eastAsia="仿宋_GB2312" w:cs="仿宋_GB2312"/>
          <w:sz w:val="32"/>
          <w:highlight w:val="none"/>
        </w:rPr>
        <w:t>财政拨款收入</w:t>
      </w:r>
      <w:r>
        <w:rPr>
          <w:rFonts w:ascii="仿宋_GB2312" w:hAnsi="Calibri" w:eastAsia="仿宋_GB2312" w:cs="仿宋_GB2312"/>
          <w:sz w:val="32"/>
          <w:szCs w:val="32"/>
          <w:highlight w:val="none"/>
        </w:rPr>
        <w:t>为</w:t>
      </w:r>
      <w:r>
        <w:rPr>
          <w:rFonts w:hint="eastAsia" w:ascii="仿宋_GB2312" w:eastAsia="仿宋_GB2312" w:cs="仿宋_GB2312"/>
          <w:sz w:val="32"/>
          <w:szCs w:val="32"/>
          <w:highlight w:val="none"/>
          <w:lang w:val="en-US" w:eastAsia="zh-CN" w:bidi="ar"/>
        </w:rPr>
        <w:t>6,868.79</w:t>
      </w:r>
      <w:r>
        <w:rPr>
          <w:rFonts w:ascii="仿宋_GB2312" w:hAnsi="Calibri" w:eastAsia="仿宋_GB2312" w:cs="仿宋_GB2312"/>
          <w:sz w:val="32"/>
          <w:szCs w:val="32"/>
          <w:highlight w:val="none"/>
        </w:rPr>
        <w:t>万元</w:t>
      </w:r>
      <w:r>
        <w:rPr>
          <w:rFonts w:hint="eastAsia" w:ascii="仿宋_GB2312" w:hAnsi="Calibri" w:eastAsia="仿宋_GB2312" w:cs="仿宋_GB2312"/>
          <w:sz w:val="32"/>
          <w:szCs w:val="32"/>
          <w:highlight w:val="none"/>
          <w:lang w:eastAsia="zh-CN"/>
        </w:rPr>
        <w:t>，与上年相比减少</w:t>
      </w:r>
      <w:r>
        <w:rPr>
          <w:rFonts w:hint="eastAsia" w:ascii="Times New Roman" w:hAnsi="Times New Roman" w:eastAsia="仿宋_GB2312" w:cs="Times New Roman"/>
          <w:sz w:val="32"/>
          <w:szCs w:val="32"/>
          <w:highlight w:val="none"/>
          <w:lang w:val="en-US" w:eastAsia="zh-CN"/>
        </w:rPr>
        <w:t>2,901.58</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30</w:t>
      </w:r>
      <w:r>
        <w:rPr>
          <w:rFonts w:ascii="Times New Roman" w:hAnsi="Times New Roman" w:eastAsia="仿宋_GB2312" w:cs="Times New Roman"/>
          <w:sz w:val="32"/>
          <w:szCs w:val="32"/>
          <w:highlight w:val="none"/>
        </w:rPr>
        <w:t>%</w:t>
      </w:r>
      <w:r>
        <w:rPr>
          <w:rFonts w:ascii="仿宋_GB2312" w:hAnsi="Calibri" w:eastAsia="仿宋_GB2312" w:cs="仿宋_GB2312"/>
          <w:sz w:val="32"/>
          <w:szCs w:val="32"/>
          <w:highlight w:val="none"/>
        </w:rPr>
        <w:t>。</w:t>
      </w:r>
      <w:r>
        <w:rPr>
          <w:rFonts w:hint="eastAsia" w:ascii="仿宋_GB2312" w:hAnsi="仿宋_GB2312" w:eastAsia="仿宋_GB2312" w:cs="仿宋_GB2312"/>
          <w:sz w:val="32"/>
          <w:highlight w:val="none"/>
        </w:rPr>
        <w:t>其中，一般公共预算财政拨款收入</w:t>
      </w:r>
      <w:r>
        <w:rPr>
          <w:rFonts w:hint="eastAsia" w:ascii="仿宋_GB2312" w:eastAsia="仿宋_GB2312" w:cs="仿宋_GB2312"/>
          <w:sz w:val="32"/>
          <w:szCs w:val="32"/>
          <w:highlight w:val="none"/>
          <w:lang w:val="en-US" w:eastAsia="zh-CN" w:bidi="ar"/>
        </w:rPr>
        <w:t>5,</w:t>
      </w:r>
      <w:r>
        <w:rPr>
          <w:rFonts w:hint="eastAsia" w:ascii="仿宋_GB2312" w:hAnsi="仿宋_GB2312" w:eastAsia="仿宋_GB2312" w:cs="仿宋_GB2312"/>
          <w:sz w:val="32"/>
          <w:highlight w:val="none"/>
          <w:lang w:val="en-US" w:eastAsia="zh-CN" w:bidi="ar"/>
        </w:rPr>
        <w:t>924.66</w:t>
      </w:r>
      <w:r>
        <w:rPr>
          <w:rFonts w:hint="eastAsia" w:ascii="仿宋_GB2312" w:hAnsi="仿宋_GB2312" w:eastAsia="仿宋_GB2312" w:cs="仿宋_GB2312"/>
          <w:sz w:val="32"/>
          <w:highlight w:val="none"/>
        </w:rPr>
        <w:t>万元，占比</w:t>
      </w:r>
      <w:r>
        <w:rPr>
          <w:rFonts w:hint="eastAsia" w:ascii="仿宋_GB2312" w:hAnsi="仿宋_GB2312" w:eastAsia="仿宋_GB2312" w:cs="仿宋_GB2312"/>
          <w:sz w:val="32"/>
          <w:highlight w:val="none"/>
          <w:lang w:val="en-US" w:eastAsia="zh-CN" w:bidi="ar"/>
        </w:rPr>
        <w:t>86.25</w:t>
      </w:r>
      <w:r>
        <w:rPr>
          <w:rFonts w:hint="eastAsia" w:ascii="仿宋_GB2312" w:hAnsi="仿宋_GB2312" w:eastAsia="仿宋_GB2312" w:cs="仿宋_GB2312"/>
          <w:sz w:val="32"/>
          <w:highlight w:val="none"/>
        </w:rPr>
        <w:t>%，政府性基金预算项目财政拨款收入</w:t>
      </w:r>
      <w:r>
        <w:rPr>
          <w:rFonts w:hint="eastAsia" w:ascii="仿宋_GB2312" w:eastAsia="仿宋_GB2312" w:cs="仿宋_GB2312"/>
          <w:sz w:val="32"/>
          <w:szCs w:val="32"/>
          <w:highlight w:val="none"/>
          <w:lang w:val="en-US" w:eastAsia="zh-CN" w:bidi="ar"/>
        </w:rPr>
        <w:t>944.13</w:t>
      </w:r>
      <w:r>
        <w:rPr>
          <w:rFonts w:hint="eastAsia" w:ascii="仿宋_GB2312" w:hAnsi="仿宋_GB2312" w:eastAsia="仿宋_GB2312" w:cs="仿宋_GB2312"/>
          <w:sz w:val="32"/>
          <w:highlight w:val="none"/>
        </w:rPr>
        <w:t>万元，占比</w:t>
      </w:r>
      <w:r>
        <w:rPr>
          <w:rFonts w:hint="eastAsia" w:ascii="仿宋_GB2312" w:eastAsia="仿宋_GB2312" w:cs="仿宋_GB2312"/>
          <w:sz w:val="32"/>
          <w:szCs w:val="32"/>
          <w:highlight w:val="none"/>
          <w:lang w:val="en-US" w:eastAsia="zh-CN" w:bidi="ar"/>
        </w:rPr>
        <w:t>13.75</w:t>
      </w:r>
      <w:r>
        <w:rPr>
          <w:rFonts w:hint="eastAsia" w:ascii="仿宋_GB2312" w:hAnsi="仿宋_GB2312" w:eastAsia="仿宋_GB2312" w:cs="仿宋_GB2312"/>
          <w:sz w:val="32"/>
          <w:highlight w:val="none"/>
        </w:rPr>
        <w:t>%。</w:t>
      </w:r>
    </w:p>
    <w:p>
      <w:pPr>
        <w:ind w:firstLine="640" w:firstLineChars="200"/>
        <w:rPr>
          <w:rFonts w:hint="eastAsia" w:ascii="Times New Roman" w:hAnsi="Times New Roman" w:eastAsia="仿宋_GB2312" w:cs="Times New Roman"/>
          <w:bCs/>
          <w:sz w:val="32"/>
          <w:szCs w:val="32"/>
          <w:highlight w:val="none"/>
          <w:lang w:eastAsia="zh-CN"/>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年我院财政拨款支出</w:t>
      </w:r>
      <w:r>
        <w:rPr>
          <w:rFonts w:hint="eastAsia" w:ascii="仿宋_GB2312" w:eastAsia="仿宋_GB2312" w:cs="仿宋_GB2312"/>
          <w:sz w:val="32"/>
          <w:szCs w:val="32"/>
          <w:highlight w:val="none"/>
          <w:lang w:val="en-US" w:eastAsia="zh-CN" w:bidi="ar"/>
        </w:rPr>
        <w:t>6,868.79</w:t>
      </w:r>
      <w:r>
        <w:rPr>
          <w:rFonts w:hint="eastAsia" w:ascii="仿宋_GB2312" w:hAnsi="仿宋" w:eastAsia="仿宋_GB2312"/>
          <w:sz w:val="32"/>
          <w:szCs w:val="32"/>
          <w:highlight w:val="none"/>
        </w:rPr>
        <w:t>万元，</w:t>
      </w:r>
      <w:r>
        <w:rPr>
          <w:rFonts w:hint="eastAsia" w:ascii="仿宋_GB2312" w:hAnsi="Calibri" w:eastAsia="仿宋_GB2312" w:cs="仿宋_GB2312"/>
          <w:sz w:val="32"/>
          <w:szCs w:val="32"/>
          <w:highlight w:val="none"/>
          <w:lang w:eastAsia="zh-CN"/>
        </w:rPr>
        <w:t>与上年相比减少</w:t>
      </w:r>
      <w:r>
        <w:rPr>
          <w:rFonts w:hint="eastAsia" w:ascii="Times New Roman" w:hAnsi="Times New Roman" w:eastAsia="仿宋_GB2312" w:cs="Times New Roman"/>
          <w:sz w:val="32"/>
          <w:szCs w:val="32"/>
          <w:highlight w:val="none"/>
          <w:lang w:val="en-US" w:eastAsia="zh-CN"/>
        </w:rPr>
        <w:t>2,901.58</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30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sz w:val="32"/>
          <w:highlight w:val="none"/>
        </w:rPr>
        <w:t>其中，一般公共预算财政拨款支出</w:t>
      </w:r>
      <w:r>
        <w:rPr>
          <w:rFonts w:hint="eastAsia" w:ascii="仿宋_GB2312" w:eastAsia="仿宋_GB2312" w:cs="仿宋_GB2312"/>
          <w:sz w:val="32"/>
          <w:szCs w:val="32"/>
          <w:highlight w:val="none"/>
          <w:lang w:val="en-US" w:eastAsia="zh-CN" w:bidi="ar"/>
        </w:rPr>
        <w:t>5,924.66</w:t>
      </w:r>
      <w:r>
        <w:rPr>
          <w:rFonts w:hint="eastAsia" w:ascii="仿宋_GB2312" w:hAnsi="仿宋_GB2312" w:eastAsia="仿宋_GB2312" w:cs="仿宋_GB2312"/>
          <w:sz w:val="32"/>
          <w:highlight w:val="none"/>
        </w:rPr>
        <w:t>万元，占比</w:t>
      </w:r>
      <w:r>
        <w:rPr>
          <w:rFonts w:hint="eastAsia" w:ascii="仿宋_GB2312" w:hAnsi="仿宋_GB2312" w:eastAsia="仿宋_GB2312" w:cs="仿宋_GB2312"/>
          <w:sz w:val="32"/>
          <w:highlight w:val="none"/>
          <w:lang w:val="en-US" w:eastAsia="zh-CN" w:bidi="ar"/>
        </w:rPr>
        <w:t>86.25</w:t>
      </w:r>
      <w:r>
        <w:rPr>
          <w:rFonts w:hint="eastAsia" w:ascii="仿宋_GB2312" w:hAnsi="仿宋_GB2312" w:eastAsia="仿宋_GB2312" w:cs="仿宋_GB2312"/>
          <w:sz w:val="32"/>
          <w:highlight w:val="none"/>
        </w:rPr>
        <w:t>%，政府性基金预算项目财政拨款支出</w:t>
      </w:r>
      <w:r>
        <w:rPr>
          <w:rFonts w:hint="eastAsia" w:ascii="仿宋_GB2312" w:eastAsia="仿宋_GB2312" w:cs="仿宋_GB2312"/>
          <w:sz w:val="32"/>
          <w:szCs w:val="32"/>
          <w:highlight w:val="none"/>
          <w:lang w:val="en-US" w:eastAsia="zh-CN" w:bidi="ar"/>
        </w:rPr>
        <w:t>944.13</w:t>
      </w:r>
      <w:r>
        <w:rPr>
          <w:rFonts w:hint="eastAsia" w:ascii="仿宋_GB2312" w:hAnsi="仿宋_GB2312" w:eastAsia="仿宋_GB2312" w:cs="仿宋_GB2312"/>
          <w:sz w:val="32"/>
          <w:highlight w:val="none"/>
        </w:rPr>
        <w:t>万元，占比</w:t>
      </w:r>
      <w:r>
        <w:rPr>
          <w:rFonts w:hint="eastAsia" w:ascii="仿宋_GB2312" w:hAnsi="仿宋_GB2312" w:eastAsia="仿宋_GB2312" w:cs="仿宋_GB2312"/>
          <w:sz w:val="32"/>
          <w:highlight w:val="none"/>
          <w:lang w:val="en-US" w:eastAsia="zh-CN" w:bidi="ar"/>
        </w:rPr>
        <w:t>13.75</w:t>
      </w:r>
      <w:r>
        <w:rPr>
          <w:rFonts w:hint="eastAsia" w:ascii="仿宋_GB2312" w:hAnsi="仿宋_GB2312" w:eastAsia="仿宋_GB2312" w:cs="仿宋_GB2312"/>
          <w:sz w:val="32"/>
          <w:highlight w:val="none"/>
        </w:rPr>
        <w:t>%</w:t>
      </w:r>
      <w:r>
        <w:rPr>
          <w:rFonts w:hint="eastAsia" w:ascii="仿宋_GB2312" w:hAnsi="仿宋_GB2312" w:eastAsia="仿宋_GB2312" w:cs="仿宋_GB2312"/>
          <w:sz w:val="32"/>
          <w:highlight w:val="none"/>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w:t>
      </w:r>
      <w:r>
        <w:rPr>
          <w:rFonts w:hint="eastAsia" w:ascii="仿宋_GB2312" w:eastAsia="仿宋_GB2312" w:cs="仿宋_GB2312"/>
          <w:sz w:val="32"/>
          <w:szCs w:val="32"/>
          <w:highlight w:val="none"/>
          <w:lang w:val="en-US" w:eastAsia="zh-CN" w:bidi="ar"/>
        </w:rPr>
        <w:t>5,924.66</w:t>
      </w:r>
      <w:r>
        <w:rPr>
          <w:rFonts w:ascii="Times New Roman" w:hAnsi="Times New Roman" w:eastAsia="仿宋_GB2312" w:cs="Times New Roman"/>
          <w:sz w:val="32"/>
          <w:szCs w:val="32"/>
          <w:highlight w:val="none"/>
        </w:rPr>
        <w:t>万元，占本年支出合计的</w:t>
      </w:r>
      <w:r>
        <w:rPr>
          <w:rFonts w:hint="eastAsia" w:ascii="Times New Roman" w:hAnsi="Times New Roman" w:eastAsia="仿宋_GB2312" w:cs="Times New Roman"/>
          <w:sz w:val="32"/>
          <w:szCs w:val="32"/>
          <w:highlight w:val="none"/>
          <w:lang w:val="en-US" w:eastAsia="zh-CN"/>
        </w:rPr>
        <w:t>16</w:t>
      </w:r>
      <w:r>
        <w:rPr>
          <w:rFonts w:ascii="Times New Roman" w:hAnsi="Times New Roman" w:eastAsia="仿宋_GB2312" w:cs="Times New Roman"/>
          <w:sz w:val="32"/>
          <w:szCs w:val="32"/>
          <w:highlight w:val="none"/>
        </w:rPr>
        <w:t>%，与上年相比，财政拨款支出增加</w:t>
      </w:r>
      <w:r>
        <w:rPr>
          <w:rFonts w:hint="eastAsia" w:ascii="Times New Roman" w:hAnsi="Times New Roman" w:eastAsia="仿宋_GB2312" w:cs="Times New Roman"/>
          <w:sz w:val="32"/>
          <w:szCs w:val="32"/>
          <w:highlight w:val="none"/>
          <w:lang w:val="en-US" w:eastAsia="zh-CN"/>
        </w:rPr>
        <w:t>5,085.38</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606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其中基本支出</w:t>
      </w:r>
      <w:r>
        <w:rPr>
          <w:rFonts w:hint="eastAsia" w:ascii="Times New Roman" w:hAnsi="Times New Roman" w:eastAsia="仿宋_GB2312" w:cs="Times New Roman"/>
          <w:sz w:val="32"/>
          <w:szCs w:val="32"/>
          <w:highlight w:val="none"/>
          <w:lang w:val="en-US" w:eastAsia="zh-CN"/>
        </w:rPr>
        <w:t>106.07万元，项目支出5,818.59万元。</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度财政拨款支出</w:t>
      </w:r>
      <w:r>
        <w:rPr>
          <w:rFonts w:hint="eastAsia" w:ascii="仿宋_GB2312" w:eastAsia="仿宋_GB2312" w:cs="仿宋_GB2312"/>
          <w:sz w:val="32"/>
          <w:szCs w:val="32"/>
          <w:highlight w:val="none"/>
          <w:lang w:val="en-US" w:eastAsia="zh-CN" w:bidi="ar"/>
        </w:rPr>
        <w:t>5,924.66</w:t>
      </w:r>
      <w:r>
        <w:rPr>
          <w:rFonts w:ascii="Times New Roman" w:hAnsi="Times New Roman" w:eastAsia="仿宋_GB2312" w:cs="Times New Roman"/>
          <w:sz w:val="32"/>
          <w:szCs w:val="32"/>
          <w:highlight w:val="none"/>
        </w:rPr>
        <w:t>万元，主要用于以下方面：</w:t>
      </w:r>
      <w:r>
        <w:rPr>
          <w:rFonts w:hint="eastAsia" w:ascii="Times New Roman" w:hAnsi="Times New Roman" w:eastAsia="仿宋_GB2312" w:cs="Times New Roman"/>
          <w:sz w:val="32"/>
          <w:szCs w:val="32"/>
          <w:highlight w:val="none"/>
        </w:rPr>
        <w:t>科学技术</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2.82</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0.05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卫生健康</w:t>
      </w:r>
      <w:r>
        <w:rPr>
          <w:rFonts w:ascii="Times New Roman" w:hAnsi="Times New Roman" w:eastAsia="仿宋_GB2312" w:cs="Times New Roman"/>
          <w:sz w:val="32"/>
          <w:szCs w:val="32"/>
          <w:highlight w:val="none"/>
        </w:rPr>
        <w:t>支出</w:t>
      </w:r>
      <w:r>
        <w:rPr>
          <w:rFonts w:hint="eastAsia" w:ascii="Times New Roman" w:hAnsi="Times New Roman" w:eastAsia="仿宋_GB2312" w:cs="Times New Roman"/>
          <w:sz w:val="32"/>
          <w:szCs w:val="32"/>
          <w:highlight w:val="none"/>
          <w:lang w:val="en-US" w:eastAsia="zh-CN"/>
        </w:rPr>
        <w:t>5921.84</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99.95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年度财政拨款支出年初预算数为</w:t>
      </w:r>
      <w:r>
        <w:rPr>
          <w:rFonts w:hint="eastAsia" w:ascii="仿宋_GB2312" w:hAnsi="仿宋" w:eastAsia="仿宋_GB2312" w:cs="Times New Roman"/>
          <w:sz w:val="32"/>
          <w:szCs w:val="32"/>
          <w:highlight w:val="none"/>
          <w:lang w:val="en-US" w:eastAsia="zh-CN"/>
        </w:rPr>
        <w:t>980</w:t>
      </w:r>
      <w:r>
        <w:rPr>
          <w:rFonts w:ascii="Times New Roman" w:hAnsi="Times New Roman" w:eastAsia="仿宋_GB2312" w:cs="Times New Roman"/>
          <w:sz w:val="32"/>
          <w:szCs w:val="32"/>
          <w:highlight w:val="none"/>
        </w:rPr>
        <w:t>万元，支出决算数为</w:t>
      </w:r>
      <w:r>
        <w:rPr>
          <w:rFonts w:hint="eastAsia" w:ascii="仿宋_GB2312" w:eastAsia="仿宋_GB2312" w:cs="仿宋_GB2312"/>
          <w:sz w:val="32"/>
          <w:szCs w:val="32"/>
          <w:highlight w:val="none"/>
          <w:lang w:val="en-US" w:eastAsia="zh-CN" w:bidi="ar"/>
        </w:rPr>
        <w:t>5,924.66</w:t>
      </w:r>
      <w:r>
        <w:rPr>
          <w:rFonts w:ascii="Times New Roman" w:hAnsi="Times New Roman" w:eastAsia="仿宋_GB2312" w:cs="Times New Roman"/>
          <w:sz w:val="32"/>
          <w:szCs w:val="32"/>
          <w:highlight w:val="none"/>
        </w:rPr>
        <w:t>万元，完成年初预算的</w:t>
      </w:r>
      <w:r>
        <w:rPr>
          <w:rFonts w:hint="eastAsia" w:ascii="仿宋_GB2312" w:hAnsi="仿宋" w:eastAsia="仿宋_GB2312" w:cs="Times New Roman"/>
          <w:sz w:val="32"/>
          <w:szCs w:val="32"/>
          <w:highlight w:val="none"/>
          <w:lang w:val="en-US" w:eastAsia="zh-CN"/>
        </w:rPr>
        <w:t>604.56</w:t>
      </w:r>
      <w:r>
        <w:rPr>
          <w:rFonts w:ascii="Times New Roman" w:hAnsi="Times New Roman" w:eastAsia="仿宋_GB2312" w:cs="Times New Roman"/>
          <w:sz w:val="32"/>
          <w:szCs w:val="32"/>
          <w:highlight w:val="none"/>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w:t>
      </w:r>
      <w:r>
        <w:rPr>
          <w:rFonts w:hint="eastAsia" w:ascii="Times New Roman" w:hAnsi="Times New Roman" w:eastAsia="仿宋_GB2312"/>
          <w:sz w:val="32"/>
          <w:szCs w:val="32"/>
          <w:highlight w:val="none"/>
        </w:rPr>
        <w:t>科学技术支出</w:t>
      </w:r>
      <w:r>
        <w:rPr>
          <w:rFonts w:ascii="Times New Roman" w:hAnsi="Times New Roman" w:eastAsia="仿宋_GB2312" w:cs="Times New Roman"/>
          <w:sz w:val="32"/>
          <w:szCs w:val="32"/>
          <w:highlight w:val="none"/>
        </w:rPr>
        <w:t>（类）</w:t>
      </w:r>
      <w:r>
        <w:rPr>
          <w:rFonts w:hint="eastAsia" w:ascii="Times New Roman" w:hAnsi="Times New Roman" w:eastAsia="仿宋_GB2312"/>
          <w:sz w:val="32"/>
          <w:szCs w:val="32"/>
          <w:highlight w:val="none"/>
        </w:rPr>
        <w:t>社会科学</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其他科学技术支出</w:t>
      </w:r>
      <w:r>
        <w:rPr>
          <w:rFonts w:ascii="Times New Roman" w:hAnsi="Times New Roman" w:eastAsia="仿宋_GB2312" w:cs="Times New Roman"/>
          <w:sz w:val="32"/>
          <w:szCs w:val="32"/>
          <w:highlight w:val="none"/>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2.81</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决算数大于年初预算数的主要原因是：</w:t>
      </w:r>
      <w:r>
        <w:rPr>
          <w:rFonts w:hint="eastAsia" w:eastAsia="仿宋_GB2312"/>
          <w:sz w:val="30"/>
          <w:szCs w:val="30"/>
          <w:highlight w:val="none"/>
        </w:rPr>
        <w:t>年初</w:t>
      </w:r>
      <w:r>
        <w:rPr>
          <w:rFonts w:hint="eastAsia" w:ascii="Times New Roman" w:hAnsi="Times New Roman" w:eastAsia="仿宋_GB2312"/>
          <w:sz w:val="32"/>
          <w:szCs w:val="32"/>
          <w:highlight w:val="none"/>
        </w:rPr>
        <w:t>预算未安排，为年中追加安排的课题支出</w:t>
      </w:r>
      <w:r>
        <w:rPr>
          <w:rFonts w:hint="eastAsia" w:ascii="Times New Roman" w:hAnsi="Times New Roman" w:eastAsia="仿宋_GB2312"/>
          <w:sz w:val="32"/>
          <w:szCs w:val="32"/>
          <w:highlight w:val="none"/>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w:t>
      </w:r>
      <w:r>
        <w:rPr>
          <w:rFonts w:hint="eastAsia" w:ascii="Times New Roman" w:hAnsi="Times New Roman" w:eastAsia="仿宋_GB2312"/>
          <w:sz w:val="32"/>
          <w:szCs w:val="32"/>
          <w:highlight w:val="none"/>
        </w:rPr>
        <w:t>卫生健康支出</w:t>
      </w:r>
      <w:r>
        <w:rPr>
          <w:rFonts w:ascii="Times New Roman" w:hAnsi="Times New Roman" w:eastAsia="仿宋_GB2312" w:cs="Times New Roman"/>
          <w:sz w:val="32"/>
          <w:szCs w:val="32"/>
          <w:highlight w:val="none"/>
        </w:rPr>
        <w:t>（类）</w:t>
      </w:r>
      <w:r>
        <w:rPr>
          <w:rFonts w:hint="eastAsia" w:ascii="Times New Roman" w:hAnsi="Times New Roman" w:eastAsia="仿宋_GB2312"/>
          <w:sz w:val="32"/>
          <w:szCs w:val="32"/>
          <w:highlight w:val="none"/>
        </w:rPr>
        <w:t>公立医院</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综合医院</w:t>
      </w:r>
      <w:r>
        <w:rPr>
          <w:rFonts w:ascii="Times New Roman" w:hAnsi="Times New Roman" w:eastAsia="仿宋_GB2312" w:cs="Times New Roman"/>
          <w:sz w:val="32"/>
          <w:szCs w:val="32"/>
          <w:highlight w:val="none"/>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106.07</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106.07</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3</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olor w:val="auto"/>
          <w:sz w:val="32"/>
          <w:szCs w:val="32"/>
          <w:highlight w:val="none"/>
        </w:rPr>
        <w:t>卫生健康支出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olor w:val="auto"/>
          <w:sz w:val="32"/>
          <w:szCs w:val="32"/>
          <w:highlight w:val="none"/>
        </w:rPr>
        <w:t>公立医院</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rPr>
        <w:t>其他公立医院支出</w:t>
      </w:r>
      <w:r>
        <w:rPr>
          <w:rFonts w:ascii="Times New Roman" w:hAnsi="Times New Roman" w:eastAsia="仿宋_GB2312" w:cs="Times New Roman"/>
          <w:color w:val="auto"/>
          <w:sz w:val="32"/>
          <w:szCs w:val="32"/>
          <w:highlight w:val="none"/>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403.58</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403.58</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4</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olor w:val="auto"/>
          <w:sz w:val="32"/>
          <w:szCs w:val="32"/>
          <w:highlight w:val="none"/>
        </w:rPr>
        <w:t>卫生健康支出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olor w:val="auto"/>
          <w:sz w:val="32"/>
          <w:szCs w:val="32"/>
          <w:highlight w:val="none"/>
        </w:rPr>
        <w:t>计划生育事务</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rPr>
        <w:t>计划生育服务</w:t>
      </w:r>
      <w:r>
        <w:rPr>
          <w:rFonts w:ascii="Times New Roman" w:hAnsi="Times New Roman" w:eastAsia="仿宋_GB2312" w:cs="Times New Roman"/>
          <w:color w:val="auto"/>
          <w:sz w:val="32"/>
          <w:szCs w:val="32"/>
          <w:highlight w:val="none"/>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4</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4</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olor w:val="auto"/>
          <w:sz w:val="32"/>
          <w:szCs w:val="32"/>
          <w:highlight w:val="none"/>
        </w:rPr>
        <w:t>卫生健康支出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olor w:val="auto"/>
          <w:sz w:val="32"/>
          <w:szCs w:val="32"/>
          <w:highlight w:val="none"/>
        </w:rPr>
        <w:t>行政事业单位医疗</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rPr>
        <w:t>其他行政事业单位医疗支出</w:t>
      </w:r>
      <w:r>
        <w:rPr>
          <w:rFonts w:ascii="Times New Roman" w:hAnsi="Times New Roman" w:eastAsia="仿宋_GB2312" w:cs="Times New Roman"/>
          <w:color w:val="auto"/>
          <w:sz w:val="32"/>
          <w:szCs w:val="32"/>
          <w:highlight w:val="none"/>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12.30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12.30</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olor w:val="auto"/>
          <w:sz w:val="32"/>
          <w:szCs w:val="32"/>
          <w:highlight w:val="none"/>
        </w:rPr>
        <w:t>卫生健康支出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olor w:val="auto"/>
          <w:sz w:val="32"/>
          <w:szCs w:val="32"/>
          <w:highlight w:val="none"/>
        </w:rPr>
        <w:t>中医药事务</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rPr>
        <w:t>中医（民族医）药专项</w:t>
      </w:r>
      <w:r>
        <w:rPr>
          <w:rFonts w:ascii="Times New Roman" w:hAnsi="Times New Roman" w:eastAsia="仿宋_GB2312" w:cs="Times New Roman"/>
          <w:color w:val="auto"/>
          <w:sz w:val="32"/>
          <w:szCs w:val="32"/>
          <w:highlight w:val="none"/>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155</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155</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7</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olor w:val="auto"/>
          <w:sz w:val="32"/>
          <w:szCs w:val="32"/>
          <w:highlight w:val="none"/>
        </w:rPr>
        <w:t>卫生健康支出</w:t>
      </w:r>
      <w:r>
        <w:rPr>
          <w:rFonts w:ascii="Times New Roman" w:hAnsi="Times New Roman" w:eastAsia="仿宋_GB2312" w:cs="Times New Roman"/>
          <w:color w:val="auto"/>
          <w:sz w:val="32"/>
          <w:szCs w:val="32"/>
          <w:highlight w:val="none"/>
        </w:rPr>
        <w:t>（类）</w:t>
      </w:r>
      <w:r>
        <w:rPr>
          <w:rFonts w:hint="eastAsia" w:ascii="Times New Roman" w:hAnsi="Times New Roman" w:eastAsia="仿宋_GB2312"/>
          <w:color w:val="auto"/>
          <w:sz w:val="32"/>
          <w:szCs w:val="32"/>
          <w:highlight w:val="none"/>
        </w:rPr>
        <w:t>其他支出</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rPr>
        <w:t>其他卫生健康支出</w:t>
      </w:r>
      <w:r>
        <w:rPr>
          <w:rFonts w:ascii="Times New Roman" w:hAnsi="Times New Roman" w:eastAsia="仿宋_GB2312" w:cs="Times New Roman"/>
          <w:color w:val="auto"/>
          <w:sz w:val="32"/>
          <w:szCs w:val="32"/>
          <w:highlight w:val="none"/>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299.05</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5,240.89</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sz w:val="32"/>
          <w:szCs w:val="32"/>
          <w:highlight w:val="none"/>
        </w:rPr>
        <w:t>决算数大于年初预算数的主要原因是：</w:t>
      </w:r>
      <w:r>
        <w:rPr>
          <w:rFonts w:hint="eastAsia" w:eastAsia="仿宋_GB2312"/>
          <w:sz w:val="30"/>
          <w:szCs w:val="30"/>
          <w:highlight w:val="none"/>
        </w:rPr>
        <w:t>年初</w:t>
      </w:r>
      <w:r>
        <w:rPr>
          <w:rFonts w:hint="eastAsia" w:ascii="Times New Roman" w:hAnsi="Times New Roman" w:eastAsia="仿宋_GB2312"/>
          <w:sz w:val="32"/>
          <w:szCs w:val="32"/>
          <w:highlight w:val="none"/>
        </w:rPr>
        <w:t>预算未安排，为年中追加安排。</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六、一般公共预算财政拨款基本支出决算情况说明</w:t>
      </w:r>
    </w:p>
    <w:p>
      <w:pPr>
        <w:pStyle w:val="14"/>
        <w:spacing w:line="60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年度一般公共预算财政拨款基本支出</w:t>
      </w:r>
      <w:r>
        <w:rPr>
          <w:rFonts w:hint="eastAsia" w:ascii="Times New Roman" w:hAnsi="Times New Roman" w:eastAsia="仿宋_GB2312" w:cs="Times New Roman"/>
          <w:sz w:val="32"/>
          <w:szCs w:val="32"/>
          <w:highlight w:val="none"/>
          <w:lang w:val="en-US" w:eastAsia="zh-CN"/>
        </w:rPr>
        <w:t>106.07</w:t>
      </w:r>
      <w:r>
        <w:rPr>
          <w:rFonts w:ascii="Times New Roman" w:hAnsi="Times New Roman" w:eastAsia="仿宋_GB2312" w:cs="Times New Roman"/>
          <w:sz w:val="32"/>
          <w:szCs w:val="32"/>
          <w:highlight w:val="none"/>
        </w:rPr>
        <w:t>万元，其中：</w:t>
      </w:r>
    </w:p>
    <w:p>
      <w:pPr>
        <w:pStyle w:val="14"/>
        <w:spacing w:line="600" w:lineRule="exact"/>
        <w:ind w:firstLine="640" w:firstLineChars="200"/>
        <w:rPr>
          <w:rFonts w:ascii="楷体" w:hAnsi="楷体" w:eastAsia="楷体" w:cs="楷体"/>
          <w:b/>
          <w:bCs/>
          <w:i/>
          <w:color w:val="auto"/>
          <w:sz w:val="32"/>
          <w:szCs w:val="32"/>
          <w:highlight w:val="none"/>
        </w:rPr>
      </w:pPr>
      <w:r>
        <w:rPr>
          <w:rFonts w:hint="eastAsia" w:ascii="Times New Roman" w:hAnsi="Times New Roman" w:eastAsia="仿宋_GB2312"/>
          <w:b/>
          <w:bCs/>
          <w:sz w:val="32"/>
          <w:szCs w:val="32"/>
          <w:highlight w:val="none"/>
        </w:rPr>
        <w:t>人员经费</w:t>
      </w:r>
      <w:r>
        <w:rPr>
          <w:rFonts w:hint="eastAsia" w:ascii="Times New Roman" w:hAnsi="Times New Roman" w:eastAsia="仿宋_GB2312"/>
          <w:sz w:val="32"/>
          <w:szCs w:val="32"/>
          <w:highlight w:val="none"/>
        </w:rPr>
        <w:t>106</w:t>
      </w:r>
      <w:r>
        <w:rPr>
          <w:rFonts w:hint="eastAsia" w:ascii="Times New Roman" w:hAnsi="Times New Roman" w:eastAsia="仿宋_GB2312"/>
          <w:sz w:val="32"/>
          <w:szCs w:val="32"/>
          <w:highlight w:val="none"/>
          <w:lang w:val="en-US" w:eastAsia="zh-CN"/>
        </w:rPr>
        <w:t>.07</w:t>
      </w:r>
      <w:r>
        <w:rPr>
          <w:rFonts w:hint="eastAsia" w:ascii="Times New Roman" w:hAnsi="Times New Roman" w:eastAsia="仿宋_GB2312"/>
          <w:sz w:val="32"/>
          <w:szCs w:val="32"/>
          <w:highlight w:val="none"/>
        </w:rPr>
        <w:t>万元，占基本支出的100%,主要包括基本工资。</w:t>
      </w:r>
    </w:p>
    <w:p>
      <w:pPr>
        <w:pStyle w:val="14"/>
        <w:spacing w:line="600" w:lineRule="exact"/>
        <w:ind w:firstLine="640" w:firstLineChars="200"/>
        <w:rPr>
          <w:rFonts w:ascii="Times New Roman" w:hAnsi="Times New Roman" w:eastAsia="仿宋_GB2312"/>
          <w:b/>
          <w:sz w:val="32"/>
          <w:szCs w:val="32"/>
          <w:highlight w:val="none"/>
        </w:rPr>
      </w:pPr>
      <w:r>
        <w:rPr>
          <w:rFonts w:hint="eastAsia" w:ascii="Times New Roman" w:hAnsi="Times New Roman" w:eastAsia="仿宋_GB2312"/>
          <w:b/>
          <w:bCs/>
          <w:sz w:val="32"/>
          <w:szCs w:val="32"/>
          <w:highlight w:val="none"/>
        </w:rPr>
        <w:t>公用经费</w:t>
      </w:r>
      <w:r>
        <w:rPr>
          <w:rFonts w:hint="eastAsia" w:ascii="Times New Roman" w:hAnsi="Times New Roman" w:eastAsia="仿宋_GB2312"/>
          <w:sz w:val="32"/>
          <w:szCs w:val="32"/>
          <w:highlight w:val="none"/>
        </w:rPr>
        <w:t>0万元，占基本支出的0%。</w:t>
      </w:r>
    </w:p>
    <w:p>
      <w:pPr>
        <w:pStyle w:val="14"/>
        <w:overflowPunct w:val="0"/>
        <w:autoSpaceDE/>
        <w:autoSpaceDN/>
        <w:spacing w:line="600" w:lineRule="exact"/>
        <w:ind w:firstLine="640" w:firstLineChars="200"/>
        <w:jc w:val="both"/>
        <w:rPr>
          <w:rFonts w:hint="eastAsia" w:ascii="Times New Roman" w:hAnsi="Times New Roman" w:eastAsia="黑体" w:cs="Times New Roman"/>
          <w:b/>
          <w:sz w:val="32"/>
          <w:szCs w:val="32"/>
          <w:highlight w:val="none"/>
          <w:lang w:eastAsia="zh-CN"/>
        </w:rPr>
      </w:pPr>
      <w:r>
        <w:rPr>
          <w:rFonts w:ascii="Times New Roman" w:hAnsi="Times New Roman" w:cs="Times New Roman"/>
          <w:bCs/>
          <w:sz w:val="32"/>
          <w:szCs w:val="32"/>
          <w:highlight w:val="none"/>
        </w:rPr>
        <w:t>七、财政拨款“三公”经费支出决算情况说明</w:t>
      </w:r>
      <w:r>
        <w:rPr>
          <w:rFonts w:hint="eastAsia" w:ascii="Times New Roman" w:hAnsi="Times New Roman" w:eastAsia="楷体_GB2312" w:cs="Times New Roman"/>
          <w:b/>
          <w:bCs/>
          <w:i/>
          <w:color w:val="auto"/>
          <w:sz w:val="32"/>
          <w:szCs w:val="32"/>
          <w:highlight w:val="none"/>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（一）“三公”经费财政拨款支出决算总体情况说明</w:t>
      </w:r>
    </w:p>
    <w:p>
      <w:pPr>
        <w:pStyle w:val="14"/>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2025年度</w:t>
      </w:r>
      <w:r>
        <w:rPr>
          <w:rFonts w:hint="eastAsia" w:ascii="Times New Roman" w:hAnsi="Times New Roman" w:eastAsia="仿宋_GB2312"/>
          <w:sz w:val="32"/>
          <w:szCs w:val="32"/>
          <w:highlight w:val="none"/>
        </w:rPr>
        <w:t>“三公”经费财政拨款支出预算为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万元，支出决算为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万元，其中：</w:t>
      </w:r>
    </w:p>
    <w:p>
      <w:pPr>
        <w:pStyle w:val="14"/>
        <w:spacing w:line="600" w:lineRule="exact"/>
        <w:ind w:firstLine="800" w:firstLineChars="250"/>
        <w:rPr>
          <w:rFonts w:ascii="Times New Roman" w:hAnsi="Times New Roman" w:eastAsia="仿宋_GB2312"/>
          <w:color w:val="FF0000"/>
          <w:sz w:val="32"/>
          <w:szCs w:val="32"/>
          <w:highlight w:val="none"/>
        </w:rPr>
      </w:pPr>
      <w:r>
        <w:rPr>
          <w:rFonts w:hint="eastAsia" w:ascii="Times New Roman" w:hAnsi="Times New Roman" w:eastAsia="仿宋_GB2312"/>
          <w:sz w:val="32"/>
          <w:szCs w:val="32"/>
          <w:highlight w:val="none"/>
        </w:rPr>
        <w:t>因公出国（境）费支出预算为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万元，支出决算为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万元，决算数</w:t>
      </w:r>
      <w:r>
        <w:rPr>
          <w:rFonts w:hint="eastAsia" w:ascii="Times New Roman" w:hAnsi="Times New Roman" w:eastAsia="仿宋_GB2312"/>
          <w:color w:val="auto"/>
          <w:sz w:val="32"/>
          <w:szCs w:val="32"/>
          <w:highlight w:val="none"/>
        </w:rPr>
        <w:t>等于</w:t>
      </w:r>
      <w:r>
        <w:rPr>
          <w:rFonts w:hint="eastAsia" w:ascii="Times New Roman" w:hAnsi="Times New Roman" w:eastAsia="仿宋_GB2312"/>
          <w:sz w:val="32"/>
          <w:szCs w:val="32"/>
          <w:highlight w:val="none"/>
        </w:rPr>
        <w:t>预算数</w:t>
      </w:r>
      <w:r>
        <w:rPr>
          <w:rFonts w:hint="eastAsia" w:ascii="Times New Roman" w:hAnsi="Times New Roman" w:eastAsia="仿宋_GB2312"/>
          <w:color w:val="auto"/>
          <w:sz w:val="32"/>
          <w:szCs w:val="32"/>
          <w:highlight w:val="none"/>
        </w:rPr>
        <w:t>，</w:t>
      </w:r>
      <w:r>
        <w:rPr>
          <w:rFonts w:hint="eastAsia" w:ascii="Times New Roman" w:hAnsi="Times New Roman" w:eastAsia="仿宋_GB2312"/>
          <w:sz w:val="32"/>
          <w:szCs w:val="32"/>
          <w:highlight w:val="none"/>
        </w:rPr>
        <w:t>与上年</w:t>
      </w:r>
      <w:r>
        <w:rPr>
          <w:rFonts w:hint="eastAsia" w:ascii="Times New Roman" w:hAnsi="Times New Roman" w:eastAsia="仿宋_GB2312"/>
          <w:color w:val="auto"/>
          <w:sz w:val="32"/>
          <w:szCs w:val="32"/>
          <w:highlight w:val="none"/>
        </w:rPr>
        <w:t>持平。</w:t>
      </w:r>
    </w:p>
    <w:p>
      <w:pPr>
        <w:pStyle w:val="14"/>
        <w:spacing w:line="600" w:lineRule="exact"/>
        <w:ind w:firstLine="800" w:firstLineChars="250"/>
        <w:rPr>
          <w:rFonts w:ascii="Times New Roman" w:hAnsi="Times New Roman" w:eastAsia="仿宋_GB2312"/>
          <w:color w:val="auto"/>
          <w:sz w:val="32"/>
          <w:szCs w:val="32"/>
          <w:highlight w:val="none"/>
        </w:rPr>
      </w:pPr>
      <w:r>
        <w:rPr>
          <w:rFonts w:hint="eastAsia" w:ascii="Times New Roman" w:hAnsi="Times New Roman" w:eastAsia="仿宋_GB2312"/>
          <w:sz w:val="32"/>
          <w:szCs w:val="32"/>
          <w:highlight w:val="none"/>
        </w:rPr>
        <w:t>公务接待费支出支出预算为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万元，支出决算为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万元，决算数</w:t>
      </w:r>
      <w:r>
        <w:rPr>
          <w:rFonts w:hint="eastAsia" w:ascii="Times New Roman" w:hAnsi="Times New Roman" w:eastAsia="仿宋_GB2312"/>
          <w:color w:val="auto"/>
          <w:sz w:val="32"/>
          <w:szCs w:val="32"/>
          <w:highlight w:val="none"/>
        </w:rPr>
        <w:t>等于</w:t>
      </w:r>
      <w:r>
        <w:rPr>
          <w:rFonts w:hint="eastAsia" w:ascii="Times New Roman" w:hAnsi="Times New Roman" w:eastAsia="仿宋_GB2312"/>
          <w:sz w:val="32"/>
          <w:szCs w:val="32"/>
          <w:highlight w:val="none"/>
        </w:rPr>
        <w:t>预算数</w:t>
      </w:r>
      <w:r>
        <w:rPr>
          <w:rFonts w:hint="eastAsia" w:ascii="Times New Roman" w:hAnsi="Times New Roman" w:eastAsia="仿宋_GB2312"/>
          <w:color w:val="auto"/>
          <w:sz w:val="32"/>
          <w:szCs w:val="32"/>
          <w:highlight w:val="none"/>
        </w:rPr>
        <w:t>，</w:t>
      </w:r>
      <w:r>
        <w:rPr>
          <w:rFonts w:hint="eastAsia" w:ascii="Times New Roman" w:hAnsi="Times New Roman" w:eastAsia="仿宋_GB2312"/>
          <w:sz w:val="32"/>
          <w:szCs w:val="32"/>
          <w:highlight w:val="none"/>
        </w:rPr>
        <w:t>与上年</w:t>
      </w:r>
      <w:r>
        <w:rPr>
          <w:rFonts w:hint="eastAsia" w:ascii="Times New Roman" w:hAnsi="Times New Roman" w:eastAsia="仿宋_GB2312"/>
          <w:color w:val="auto"/>
          <w:sz w:val="32"/>
          <w:szCs w:val="32"/>
          <w:highlight w:val="none"/>
        </w:rPr>
        <w:t>持平。</w:t>
      </w:r>
    </w:p>
    <w:p>
      <w:pPr>
        <w:pStyle w:val="14"/>
        <w:spacing w:line="600" w:lineRule="exact"/>
        <w:ind w:firstLine="800" w:firstLineChars="250"/>
        <w:rPr>
          <w:rFonts w:ascii="Times New Roman" w:hAnsi="Times New Roman" w:eastAsia="仿宋_GB2312" w:cs="Times New Roman"/>
          <w:sz w:val="32"/>
          <w:szCs w:val="32"/>
          <w:highlight w:val="none"/>
        </w:rPr>
      </w:pPr>
      <w:r>
        <w:rPr>
          <w:rFonts w:hint="eastAsia" w:ascii="Times New Roman" w:hAnsi="Times New Roman" w:eastAsia="仿宋_GB2312"/>
          <w:sz w:val="32"/>
          <w:szCs w:val="32"/>
          <w:highlight w:val="none"/>
        </w:rPr>
        <w:t>公务用车购置费支出预算为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万元，支出决算为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万元，决算数</w:t>
      </w:r>
      <w:r>
        <w:rPr>
          <w:rFonts w:hint="eastAsia" w:ascii="Times New Roman" w:hAnsi="Times New Roman" w:eastAsia="仿宋_GB2312"/>
          <w:color w:val="auto"/>
          <w:sz w:val="32"/>
          <w:szCs w:val="32"/>
          <w:highlight w:val="none"/>
        </w:rPr>
        <w:t>等于</w:t>
      </w:r>
      <w:r>
        <w:rPr>
          <w:rFonts w:hint="eastAsia" w:ascii="Times New Roman" w:hAnsi="Times New Roman" w:eastAsia="仿宋_GB2312"/>
          <w:sz w:val="32"/>
          <w:szCs w:val="32"/>
          <w:highlight w:val="none"/>
        </w:rPr>
        <w:t>预算数</w:t>
      </w:r>
      <w:r>
        <w:rPr>
          <w:rFonts w:hint="eastAsia" w:ascii="Times New Roman" w:hAnsi="Times New Roman" w:eastAsia="仿宋_GB2312"/>
          <w:color w:val="auto"/>
          <w:sz w:val="32"/>
          <w:szCs w:val="32"/>
          <w:highlight w:val="none"/>
        </w:rPr>
        <w:t>，</w:t>
      </w:r>
      <w:r>
        <w:rPr>
          <w:rFonts w:hint="eastAsia" w:ascii="Times New Roman" w:hAnsi="Times New Roman" w:eastAsia="仿宋_GB2312"/>
          <w:sz w:val="32"/>
          <w:szCs w:val="32"/>
          <w:highlight w:val="none"/>
        </w:rPr>
        <w:t>与上年</w:t>
      </w:r>
      <w:r>
        <w:rPr>
          <w:rFonts w:hint="eastAsia" w:ascii="Times New Roman" w:hAnsi="Times New Roman" w:eastAsia="仿宋_GB2312"/>
          <w:color w:val="auto"/>
          <w:sz w:val="32"/>
          <w:szCs w:val="32"/>
          <w:highlight w:val="none"/>
        </w:rPr>
        <w:t>持平。</w:t>
      </w:r>
    </w:p>
    <w:p>
      <w:pPr>
        <w:pStyle w:val="14"/>
        <w:numPr>
          <w:ilvl w:val="0"/>
          <w:numId w:val="3"/>
        </w:numPr>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“三公”经费财政拨款支出决算具体情况说明</w:t>
      </w:r>
    </w:p>
    <w:p>
      <w:pPr>
        <w:pStyle w:val="14"/>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年度“三公”经费财政拨款支出决算中，公务接待费支出决算</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万元，占</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因公出国（境）费支出决算</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万元，占</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公务用车购置费及运行维护费支出决算</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万元，占</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。其中：</w:t>
      </w:r>
    </w:p>
    <w:p>
      <w:pPr>
        <w:pStyle w:val="14"/>
        <w:spacing w:line="600" w:lineRule="exact"/>
        <w:ind w:firstLine="640" w:firstLineChars="200"/>
        <w:rPr>
          <w:rFonts w:ascii="Times New Roman" w:hAnsi="Times New Roman" w:eastAsia="仿宋_GB2312"/>
          <w:b/>
          <w:sz w:val="32"/>
          <w:szCs w:val="32"/>
          <w:highlight w:val="none"/>
        </w:rPr>
      </w:pP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、因公出国（境）费支出决算为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万元，全年安排因公出国（境）团组</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个，累计</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人次</w:t>
      </w:r>
      <w:r>
        <w:rPr>
          <w:rFonts w:hint="eastAsia" w:ascii="Times New Roman" w:hAnsi="Times New Roman" w:eastAsia="仿宋_GB2312"/>
          <w:color w:val="auto"/>
          <w:sz w:val="32"/>
          <w:szCs w:val="32"/>
          <w:highlight w:val="none"/>
        </w:rPr>
        <w:t>。</w:t>
      </w:r>
      <w:r>
        <w:rPr>
          <w:rFonts w:ascii="Times New Roman" w:hAnsi="Times New Roman" w:eastAsia="仿宋_GB2312" w:cs="Times New Roman"/>
          <w:color w:val="auto"/>
          <w:kern w:val="2"/>
          <w:sz w:val="32"/>
          <w:szCs w:val="32"/>
          <w:highlight w:val="none"/>
        </w:rPr>
        <w:t>202</w:t>
      </w:r>
      <w:r>
        <w:rPr>
          <w:rFonts w:hint="eastAsia" w:ascii="Times New Roman" w:hAnsi="Times New Roman" w:eastAsia="仿宋_GB2312" w:cs="Times New Roman"/>
          <w:color w:val="auto"/>
          <w:kern w:val="2"/>
          <w:sz w:val="32"/>
          <w:szCs w:val="32"/>
          <w:highlight w:val="none"/>
          <w:lang w:val="en-US" w:eastAsia="zh-CN"/>
        </w:rPr>
        <w:t>5</w:t>
      </w:r>
      <w:r>
        <w:rPr>
          <w:rFonts w:hint="eastAsia" w:ascii="Times New Roman" w:hAnsi="Times New Roman" w:eastAsia="仿宋_GB2312" w:cs="Times New Roman"/>
          <w:color w:val="auto"/>
          <w:kern w:val="2"/>
          <w:sz w:val="32"/>
          <w:szCs w:val="32"/>
          <w:highlight w:val="none"/>
        </w:rPr>
        <w:t>年度我单位未开展因公出国（境）活动。</w:t>
      </w:r>
    </w:p>
    <w:p>
      <w:pPr>
        <w:pStyle w:val="14"/>
        <w:spacing w:line="600" w:lineRule="exact"/>
        <w:ind w:firstLine="627" w:firstLineChars="196"/>
        <w:rPr>
          <w:rFonts w:ascii="Times New Roman" w:hAnsi="Times New Roman" w:eastAsia="仿宋_GB2312"/>
          <w:sz w:val="32"/>
          <w:szCs w:val="32"/>
          <w:highlight w:val="none"/>
        </w:rPr>
      </w:pPr>
      <w:r>
        <w:rPr>
          <w:rFonts w:ascii="Times New Roman" w:hAnsi="Times New Roman" w:eastAsia="仿宋_GB2312"/>
          <w:sz w:val="32"/>
          <w:szCs w:val="32"/>
          <w:highlight w:val="none"/>
        </w:rPr>
        <w:t>2</w:t>
      </w:r>
      <w:r>
        <w:rPr>
          <w:rFonts w:hint="eastAsia" w:ascii="Times New Roman" w:hAnsi="Times New Roman" w:eastAsia="仿宋_GB2312"/>
          <w:sz w:val="32"/>
          <w:szCs w:val="32"/>
          <w:highlight w:val="none"/>
        </w:rPr>
        <w:t>、公务接待费支出决算为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万元，全年共接待来访团组</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个、来宾</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人次。</w:t>
      </w:r>
      <w:r>
        <w:rPr>
          <w:rFonts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年度我单位无公务接待财政拨款支出。</w:t>
      </w:r>
    </w:p>
    <w:p>
      <w:pPr>
        <w:spacing w:line="600" w:lineRule="exact"/>
        <w:ind w:firstLine="640" w:firstLineChars="200"/>
        <w:rPr>
          <w:rFonts w:ascii="Times New Roman" w:hAnsi="Times New Roman" w:eastAsia="楷体_GB2312" w:cs="Times New Roman"/>
          <w:b/>
          <w:sz w:val="32"/>
          <w:szCs w:val="32"/>
          <w:highlight w:val="none"/>
        </w:rPr>
      </w:pPr>
      <w:r>
        <w:rPr>
          <w:rFonts w:ascii="Times New Roman" w:hAnsi="Times New Roman" w:eastAsia="仿宋_GB2312"/>
          <w:sz w:val="32"/>
          <w:szCs w:val="32"/>
          <w:highlight w:val="none"/>
        </w:rPr>
        <w:t>3</w:t>
      </w:r>
      <w:r>
        <w:rPr>
          <w:rFonts w:hint="eastAsia" w:ascii="Times New Roman" w:hAnsi="Times New Roman" w:eastAsia="仿宋_GB2312"/>
          <w:sz w:val="32"/>
          <w:szCs w:val="32"/>
          <w:highlight w:val="none"/>
        </w:rPr>
        <w:t>、公务用车购置费及运行维护费支出决算为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万元，其中：公务用车购置费</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万元，本单位无更新公务用车。公务用车运行维护费</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万元，截止</w:t>
      </w:r>
      <w:r>
        <w:rPr>
          <w:rFonts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w:t>
      </w:r>
      <w:r>
        <w:rPr>
          <w:rFonts w:ascii="Times New Roman" w:hAnsi="Times New Roman" w:eastAsia="仿宋_GB2312"/>
          <w:sz w:val="32"/>
          <w:szCs w:val="32"/>
          <w:highlight w:val="none"/>
        </w:rPr>
        <w:t>12</w:t>
      </w:r>
      <w:r>
        <w:rPr>
          <w:rFonts w:hint="eastAsia" w:ascii="Times New Roman" w:hAnsi="Times New Roman" w:eastAsia="仿宋_GB2312"/>
          <w:sz w:val="32"/>
          <w:szCs w:val="32"/>
          <w:highlight w:val="none"/>
        </w:rPr>
        <w:t>月</w:t>
      </w:r>
      <w:r>
        <w:rPr>
          <w:rFonts w:ascii="Times New Roman" w:hAnsi="Times New Roman" w:eastAsia="仿宋_GB2312"/>
          <w:sz w:val="32"/>
          <w:szCs w:val="32"/>
          <w:highlight w:val="none"/>
        </w:rPr>
        <w:t>31</w:t>
      </w:r>
      <w:r>
        <w:rPr>
          <w:rFonts w:hint="eastAsia" w:ascii="Times New Roman" w:hAnsi="Times New Roman" w:eastAsia="仿宋_GB2312"/>
          <w:sz w:val="32"/>
          <w:szCs w:val="32"/>
          <w:highlight w:val="none"/>
        </w:rPr>
        <w:t>日，我单位开支财政拨款的公务用车保有量为</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辆。</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八、政府性基金预算收入支出决算情况</w:t>
      </w:r>
    </w:p>
    <w:p>
      <w:pPr>
        <w:pStyle w:val="14"/>
        <w:spacing w:line="600" w:lineRule="exact"/>
        <w:ind w:firstLine="800" w:firstLineChars="250"/>
        <w:rPr>
          <w:rFonts w:ascii="Times New Roman" w:hAnsi="Times New Roman" w:eastAsia="仿宋_GB2312"/>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年度政府性基金预算财政拨款收入</w:t>
      </w:r>
      <w:r>
        <w:rPr>
          <w:rFonts w:hint="eastAsia" w:ascii="Times New Roman" w:hAnsi="Times New Roman" w:eastAsia="仿宋_GB2312" w:cs="Times New Roman"/>
          <w:sz w:val="32"/>
          <w:szCs w:val="32"/>
          <w:highlight w:val="none"/>
          <w:lang w:val="en-US" w:eastAsia="zh-CN"/>
        </w:rPr>
        <w:t>944.13</w:t>
      </w:r>
      <w:r>
        <w:rPr>
          <w:rFonts w:ascii="Times New Roman" w:hAnsi="Times New Roman" w:eastAsia="仿宋_GB2312" w:cs="Times New Roman"/>
          <w:sz w:val="32"/>
          <w:szCs w:val="32"/>
          <w:highlight w:val="none"/>
        </w:rPr>
        <w:t>万元；年初结转和结余</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w:t>
      </w:r>
      <w:r>
        <w:rPr>
          <w:rFonts w:hint="eastAsia" w:ascii="Times New Roman" w:hAnsi="Times New Roman" w:eastAsia="仿宋_GB2312" w:cs="Times New Roman"/>
          <w:sz w:val="32"/>
          <w:szCs w:val="32"/>
          <w:highlight w:val="none"/>
          <w:lang w:val="en-US" w:eastAsia="zh-CN"/>
        </w:rPr>
        <w:t>944.13</w:t>
      </w:r>
      <w:r>
        <w:rPr>
          <w:rFonts w:ascii="Times New Roman" w:hAnsi="Times New Roman" w:eastAsia="仿宋_GB2312" w:cs="Times New Roman"/>
          <w:sz w:val="32"/>
          <w:szCs w:val="32"/>
          <w:highlight w:val="none"/>
        </w:rPr>
        <w:t>万元，其中基本支出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万元，项目支出</w:t>
      </w:r>
      <w:r>
        <w:rPr>
          <w:rFonts w:hint="eastAsia" w:ascii="Times New Roman" w:hAnsi="Times New Roman" w:eastAsia="仿宋_GB2312" w:cs="Times New Roman"/>
          <w:sz w:val="32"/>
          <w:szCs w:val="32"/>
          <w:highlight w:val="none"/>
          <w:lang w:val="en-US" w:eastAsia="zh-CN"/>
        </w:rPr>
        <w:t>944.13</w:t>
      </w:r>
      <w:r>
        <w:rPr>
          <w:rFonts w:ascii="Times New Roman" w:hAnsi="Times New Roman" w:eastAsia="仿宋_GB2312" w:cs="Times New Roman"/>
          <w:sz w:val="32"/>
          <w:szCs w:val="32"/>
          <w:highlight w:val="none"/>
        </w:rPr>
        <w:t>万元；年末结转和结余</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万元。具体情况如下：1、</w:t>
      </w:r>
      <w:r>
        <w:rPr>
          <w:rFonts w:hint="eastAsia" w:ascii="Times New Roman" w:hAnsi="Times New Roman" w:eastAsia="仿宋_GB2312"/>
          <w:sz w:val="32"/>
          <w:szCs w:val="32"/>
          <w:highlight w:val="none"/>
        </w:rPr>
        <w:t>其他支出（类）其他政府性基金及对应专项债务收入安排的支出（款）其他地方自行试点项目收益专项债券收入安排的支出（项）。</w:t>
      </w:r>
    </w:p>
    <w:p>
      <w:pPr>
        <w:pStyle w:val="14"/>
        <w:spacing w:line="600" w:lineRule="exact"/>
        <w:ind w:firstLine="800" w:firstLineChars="250"/>
        <w:rPr>
          <w:rFonts w:ascii="Times New Roman" w:hAnsi="Times New Roman" w:eastAsia="仿宋_GB2312" w:cs="Times New Roman"/>
          <w:sz w:val="32"/>
          <w:szCs w:val="32"/>
          <w:highlight w:val="none"/>
        </w:rPr>
      </w:pPr>
      <w:r>
        <w:rPr>
          <w:rFonts w:hint="eastAsia" w:ascii="Times New Roman" w:hAnsi="Times New Roman" w:eastAsia="仿宋_GB2312"/>
          <w:sz w:val="32"/>
          <w:szCs w:val="32"/>
          <w:highlight w:val="none"/>
        </w:rPr>
        <w:t>年初预算为0万元，支出决算为</w:t>
      </w:r>
      <w:r>
        <w:rPr>
          <w:rFonts w:hint="eastAsia" w:ascii="Times New Roman" w:hAnsi="Times New Roman" w:eastAsia="仿宋_GB2312"/>
          <w:sz w:val="32"/>
          <w:szCs w:val="32"/>
          <w:highlight w:val="none"/>
          <w:lang w:val="en-US" w:eastAsia="zh-CN"/>
        </w:rPr>
        <w:t>944.13</w:t>
      </w:r>
      <w:r>
        <w:rPr>
          <w:rFonts w:hint="eastAsia" w:ascii="Times New Roman" w:hAnsi="Times New Roman" w:eastAsia="仿宋_GB2312"/>
          <w:sz w:val="32"/>
          <w:szCs w:val="32"/>
          <w:highlight w:val="none"/>
        </w:rPr>
        <w:t>万元，决算数大于年初预算数的主要原因是：</w:t>
      </w:r>
      <w:r>
        <w:rPr>
          <w:rFonts w:hint="eastAsia" w:eastAsia="仿宋_GB2312"/>
          <w:sz w:val="30"/>
          <w:szCs w:val="30"/>
          <w:highlight w:val="none"/>
        </w:rPr>
        <w:t>年初</w:t>
      </w:r>
      <w:r>
        <w:rPr>
          <w:rFonts w:hint="eastAsia" w:ascii="Times New Roman" w:hAnsi="Times New Roman" w:eastAsia="仿宋_GB2312"/>
          <w:sz w:val="32"/>
          <w:szCs w:val="32"/>
          <w:highlight w:val="none"/>
        </w:rPr>
        <w:t>预算未安排，为年中追加安排的支出。</w:t>
      </w:r>
    </w:p>
    <w:p>
      <w:pPr>
        <w:pStyle w:val="14"/>
        <w:numPr>
          <w:ilvl w:val="0"/>
          <w:numId w:val="4"/>
        </w:numPr>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关于机关运行经费支出说明</w:t>
      </w:r>
    </w:p>
    <w:p>
      <w:pPr>
        <w:pStyle w:val="14"/>
        <w:spacing w:line="600" w:lineRule="exact"/>
        <w:ind w:firstLine="640" w:firstLineChars="200"/>
        <w:rPr>
          <w:rFonts w:ascii="Times New Roman" w:hAnsi="Times New Roman" w:cs="Times New Roman"/>
          <w:bCs/>
          <w:sz w:val="32"/>
          <w:szCs w:val="32"/>
          <w:highlight w:val="none"/>
        </w:rPr>
      </w:pPr>
      <w:r>
        <w:rPr>
          <w:rFonts w:hint="eastAsia" w:ascii="Times New Roman" w:hAnsi="Times New Roman" w:eastAsia="仿宋_GB2312"/>
          <w:sz w:val="32"/>
          <w:szCs w:val="32"/>
          <w:highlight w:val="none"/>
        </w:rPr>
        <w:t>本单位属于公益</w:t>
      </w:r>
      <w:r>
        <w:rPr>
          <w:rFonts w:hint="eastAsia" w:ascii="Times New Roman" w:hAnsi="Times New Roman" w:eastAsia="仿宋_GB2312"/>
          <w:sz w:val="32"/>
          <w:szCs w:val="32"/>
          <w:highlight w:val="none"/>
          <w:lang w:eastAsia="zh-CN"/>
        </w:rPr>
        <w:t>二</w:t>
      </w:r>
      <w:r>
        <w:rPr>
          <w:rFonts w:hint="eastAsia" w:ascii="Times New Roman" w:hAnsi="Times New Roman" w:eastAsia="仿宋_GB2312"/>
          <w:sz w:val="32"/>
          <w:szCs w:val="32"/>
          <w:highlight w:val="none"/>
        </w:rPr>
        <w:t>类事业单位，不属于行政单位和参照公务员法管理事业单位，无机关运行经费。</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pPr>
        <w:pStyle w:val="14"/>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sz w:val="32"/>
          <w:szCs w:val="32"/>
          <w:highlight w:val="none"/>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年本部门开支会议费</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万元，开支培训费</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w:t>
      </w:r>
      <w:r>
        <w:rPr>
          <w:rFonts w:hint="eastAsia" w:ascii="Times New Roman" w:hAnsi="Times New Roman" w:eastAsia="仿宋_GB2312"/>
          <w:color w:val="auto"/>
          <w:sz w:val="32"/>
          <w:szCs w:val="32"/>
          <w:highlight w:val="none"/>
        </w:rPr>
        <w:t>本单位</w:t>
      </w:r>
      <w:r>
        <w:rPr>
          <w:rFonts w:ascii="Times New Roman" w:hAnsi="Times New Roman" w:eastAsia="仿宋_GB2312"/>
          <w:color w:val="auto"/>
          <w:sz w:val="32"/>
          <w:szCs w:val="32"/>
          <w:highlight w:val="none"/>
        </w:rPr>
        <w:t>202</w:t>
      </w: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年度未举办</w:t>
      </w:r>
      <w:r>
        <w:rPr>
          <w:rFonts w:hint="eastAsia" w:ascii="Times New Roman" w:hAnsi="Times New Roman" w:eastAsia="仿宋_GB2312"/>
          <w:sz w:val="32"/>
          <w:szCs w:val="32"/>
          <w:highlight w:val="none"/>
        </w:rPr>
        <w:t>节庆、晚会、论坛、赛事活动，开支</w:t>
      </w:r>
      <w:r>
        <w:rPr>
          <w:rFonts w:ascii="Times New Roman" w:hAnsi="Times New Roman" w:eastAsia="仿宋_GB2312"/>
          <w:sz w:val="32"/>
          <w:szCs w:val="32"/>
          <w:highlight w:val="none"/>
        </w:rPr>
        <w:t>0</w:t>
      </w:r>
      <w:r>
        <w:rPr>
          <w:rFonts w:hint="eastAsia" w:ascii="Times New Roman" w:hAnsi="Times New Roman" w:eastAsia="仿宋_GB2312"/>
          <w:sz w:val="32"/>
          <w:szCs w:val="32"/>
          <w:highlight w:val="none"/>
        </w:rPr>
        <w:t>万元</w:t>
      </w:r>
      <w:r>
        <w:rPr>
          <w:rFonts w:hint="eastAsia" w:ascii="Times New Roman" w:hAnsi="Times New Roman" w:eastAsia="仿宋_GB2312"/>
          <w:color w:val="auto"/>
          <w:sz w:val="32"/>
          <w:szCs w:val="32"/>
          <w:highlight w:val="none"/>
        </w:rPr>
        <w:t>。</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十一、关于政府采购支出说明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p>
    <w:p>
      <w:pPr>
        <w:pStyle w:val="14"/>
        <w:numPr>
          <w:ilvl w:val="0"/>
          <w:numId w:val="5"/>
        </w:numPr>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关于国有资产占用情况说明</w:t>
      </w:r>
    </w:p>
    <w:p>
      <w:pPr>
        <w:pStyle w:val="14"/>
        <w:spacing w:line="580" w:lineRule="exact"/>
        <w:ind w:firstLine="640" w:firstLineChars="200"/>
        <w:rPr>
          <w:rFonts w:ascii="Times New Roman" w:hAnsi="Times New Roman" w:cs="Times New Roman"/>
          <w:bCs/>
          <w:color w:val="auto"/>
          <w:sz w:val="32"/>
          <w:szCs w:val="32"/>
          <w:highlight w:val="none"/>
        </w:rPr>
      </w:pPr>
      <w:r>
        <w:rPr>
          <w:rFonts w:hint="eastAsia" w:ascii="Times New Roman" w:hAnsi="Times New Roman" w:eastAsia="仿宋_GB2312"/>
          <w:color w:val="auto"/>
          <w:sz w:val="32"/>
          <w:szCs w:val="32"/>
          <w:highlight w:val="none"/>
        </w:rPr>
        <w:t>截至202</w:t>
      </w: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年12月31日，部门（单位）共有车辆1</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辆，其中，副部（省）级及以上领导用车0辆、主要负责人用车0辆、机要通信用车0辆、应急保障用车0辆、执法执勤用车0辆、特种专业技术用车0辆、离退休干部服务用车0辆、其他用车1</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辆，其他用车主要是救护车；单位价值100万元以上设备（不含车辆）</w:t>
      </w:r>
      <w:r>
        <w:rPr>
          <w:rFonts w:hint="eastAsia" w:ascii="Times New Roman" w:hAnsi="Times New Roman" w:eastAsia="仿宋_GB2312"/>
          <w:color w:val="auto"/>
          <w:sz w:val="32"/>
          <w:szCs w:val="32"/>
          <w:highlight w:val="none"/>
          <w:lang w:val="en-US" w:eastAsia="zh-CN"/>
        </w:rPr>
        <w:t>49</w:t>
      </w:r>
      <w:r>
        <w:rPr>
          <w:rFonts w:hint="eastAsia" w:ascii="Times New Roman" w:hAnsi="Times New Roman" w:eastAsia="仿宋_GB2312"/>
          <w:color w:val="auto"/>
          <w:sz w:val="32"/>
          <w:szCs w:val="32"/>
          <w:highlight w:val="none"/>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十三、关于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cs="Times New Roman"/>
          <w:bCs/>
          <w:color w:val="auto"/>
          <w:sz w:val="32"/>
          <w:szCs w:val="32"/>
          <w:highlight w:val="none"/>
        </w:rPr>
        <w:t>年度预算绩效情况的说明</w:t>
      </w:r>
    </w:p>
    <w:p>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年我院按照以收定支、收支平衡、统筹兼顾、保证重点的原则制定年初预算，全年坚持厉行节约，严控“三公”经费和不合理支出，本单位已完成202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永州市中央、省下达的中医药专项资金的绩效自评工作、部门整体绩效自评工作我院所有财政项目资金均按专项资金管理办法使用，各项目均按计划完成阶段性任务，工作正在稳步推进中，但是在面对预算执行过程中存在的不确定因素仍需加强动态管理及控制，在执行结果与预算目标发生差异时，及时分析适当调整预算。</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ascii="方正小标宋_GBK" w:hAnsi="方正小标宋_GBK" w:eastAsia="方正小标宋_GBK" w:cs="方正小标宋_GBK"/>
          <w:color w:val="000000"/>
          <w:kern w:val="0"/>
          <w:sz w:val="70"/>
          <w:szCs w:val="70"/>
        </w:rPr>
      </w:pPr>
    </w:p>
    <w:p>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widowControl/>
        <w:numPr>
          <w:ilvl w:val="0"/>
          <w:numId w:val="6"/>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财政拨款收入：指财政当年拨付的资金，主要包括一般公共预算财政拨款，政府性基金预算财政拨款，国有资本经营预算财政拨款。</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二、上级补助收入：指事业单位从主管部门和上级单位取得的非财政补助收入。</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三、事业收入：指事业单位开展专业业务活动及辅助活动所取得的收入。</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四、经营收入：指事业单位在专业业务活动及其辅助活动之外开展非独立核算经营活动取得的收入。</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五、附属单位上缴收入：指事业单位附属独立核算单位按照有关规定上缴的收入。</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六、其他收入：指除上述“财政拨款收入”、“事业收入”、“经营收入”等以外的收入。</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七、基本支出：指为保障机构正常运转、完成日常工作任务而发生的各项支出，包括人员支出和公用支出。</w:t>
      </w:r>
      <w:r>
        <w:rPr>
          <w:rFonts w:hint="eastAsia" w:ascii="宋体" w:hAnsi="宋体" w:eastAsia="宋体" w:cs="宋体"/>
          <w:sz w:val="32"/>
          <w:szCs w:val="32"/>
        </w:rPr>
        <w:t>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八、项目支出：指在基本支出以外为完成相关行政任务和事业发展目标所发生的各项支出。</w:t>
      </w:r>
      <w:r>
        <w:rPr>
          <w:rFonts w:hint="eastAsia" w:ascii="宋体" w:hAnsi="宋体" w:eastAsia="宋体" w:cs="宋体"/>
          <w:sz w:val="32"/>
          <w:szCs w:val="32"/>
        </w:rPr>
        <w:t>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九、“三公”经费：指通过财政拨款资金安排的因公出国（境）费、公务用车购置及运行费和公务接待费支出。</w:t>
      </w:r>
      <w:r>
        <w:rPr>
          <w:rFonts w:hint="eastAsia" w:ascii="宋体" w:hAnsi="宋体" w:eastAsia="宋体" w:cs="宋体"/>
          <w:sz w:val="32"/>
          <w:szCs w:val="32"/>
        </w:rPr>
        <w:t>  </w:t>
      </w:r>
    </w:p>
    <w:p>
      <w:pPr>
        <w:widowControl/>
        <w:spacing w:line="560" w:lineRule="exact"/>
        <w:ind w:firstLine="640" w:firstLineChars="200"/>
        <w:jc w:val="left"/>
        <w:rPr>
          <w:rFonts w:ascii="Calibri" w:hAnsi="Calibri" w:eastAsia="宋体" w:cs="Times New Roman"/>
        </w:rPr>
      </w:pPr>
      <w:r>
        <w:rPr>
          <w:rFonts w:hint="eastAsia" w:ascii="仿宋_GB2312" w:hAnsi="仿宋_GB2312" w:eastAsia="仿宋_GB2312" w:cs="仿宋_GB2312"/>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pPr>
        <w:pStyle w:val="14"/>
        <w:jc w:val="center"/>
        <w:rPr>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pPr>
        <w:pStyle w:val="14"/>
        <w:jc w:val="center"/>
        <w:rPr>
          <w:rFonts w:ascii="方正小标宋_GBK" w:hAnsi="方正小标宋_GBK" w:eastAsia="方正小标宋_GBK" w:cs="方正小标宋_GBK"/>
          <w:sz w:val="70"/>
          <w:szCs w:val="70"/>
        </w:rPr>
      </w:pPr>
    </w:p>
    <w:p>
      <w:pPr>
        <w:pStyle w:val="14"/>
        <w:jc w:val="center"/>
        <w:rPr>
          <w:sz w:val="72"/>
          <w:szCs w:val="72"/>
        </w:rPr>
      </w:pPr>
      <w:r>
        <w:rPr>
          <w:rFonts w:hint="eastAsia" w:ascii="方正小标宋_GBK" w:hAnsi="方正小标宋_GBK" w:eastAsia="方正小标宋_GBK" w:cs="方正小标宋_GBK"/>
          <w:sz w:val="70"/>
          <w:szCs w:val="70"/>
        </w:rPr>
        <w:t>附件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sectPr>
          <w:pgSz w:w="11906" w:h="16838"/>
          <w:pgMar w:top="1417" w:right="1588" w:bottom="1417" w:left="1588" w:header="851" w:footer="992" w:gutter="0"/>
          <w:cols w:space="425" w:num="1"/>
          <w:docGrid w:type="linesAndChars" w:linePitch="312" w:charSpace="0"/>
        </w:sectPr>
      </w:pPr>
    </w:p>
    <w:p>
      <w:pPr>
        <w:pStyle w:val="14"/>
        <w:spacing w:line="60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 xml:space="preserve">        无</w:t>
      </w:r>
    </w:p>
    <w:p>
      <w:pPr>
        <w:pStyle w:val="14"/>
        <w:spacing w:line="600" w:lineRule="exact"/>
        <w:ind w:firstLine="640" w:firstLineChars="200"/>
        <w:rPr>
          <w:rFonts w:ascii="Times New Roman" w:hAnsi="Times New Roman" w:eastAsia="仿宋_GB2312" w:cs="Times New Roman"/>
          <w:sz w:val="32"/>
          <w:szCs w:val="32"/>
        </w:rPr>
        <w:sectPr>
          <w:pgSz w:w="11906" w:h="16838"/>
          <w:pgMar w:top="1417" w:right="1588" w:bottom="1417" w:left="1588" w:header="851" w:footer="992" w:gutter="0"/>
          <w:cols w:space="425" w:num="1"/>
          <w:docGrid w:type="linesAndChars" w:linePitch="312" w:charSpace="0"/>
        </w:sectPr>
      </w:pP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2BA0AF"/>
    <w:multiLevelType w:val="singleLevel"/>
    <w:tmpl w:val="892BA0AF"/>
    <w:lvl w:ilvl="0" w:tentative="0">
      <w:start w:val="2"/>
      <w:numFmt w:val="chineseCounting"/>
      <w:suff w:val="nothing"/>
      <w:lvlText w:val="（%1）"/>
      <w:lvlJc w:val="left"/>
      <w:rPr>
        <w:rFonts w:hint="eastAsia"/>
      </w:rPr>
    </w:lvl>
  </w:abstractNum>
  <w:abstractNum w:abstractNumId="1">
    <w:nsid w:val="8AAF74B2"/>
    <w:multiLevelType w:val="singleLevel"/>
    <w:tmpl w:val="8AAF74B2"/>
    <w:lvl w:ilvl="0" w:tentative="0">
      <w:start w:val="12"/>
      <w:numFmt w:val="chineseCounting"/>
      <w:suff w:val="nothing"/>
      <w:lvlText w:val="%1、"/>
      <w:lvlJc w:val="left"/>
      <w:rPr>
        <w:rFonts w:hint="eastAsia"/>
      </w:rPr>
    </w:lvl>
  </w:abstractNum>
  <w:abstractNum w:abstractNumId="2">
    <w:nsid w:val="D9E3DA24"/>
    <w:multiLevelType w:val="singleLevel"/>
    <w:tmpl w:val="D9E3DA24"/>
    <w:lvl w:ilvl="0" w:tentative="0">
      <w:start w:val="1"/>
      <w:numFmt w:val="chineseCounting"/>
      <w:suff w:val="nothing"/>
      <w:lvlText w:val="%1、"/>
      <w:lvlJc w:val="left"/>
      <w:pPr>
        <w:ind w:left="0" w:firstLine="0"/>
      </w:pPr>
      <w:rPr>
        <w:rFonts w:cs="Times New Roman"/>
      </w:rPr>
    </w:lvl>
  </w:abstractNum>
  <w:abstractNum w:abstractNumId="3">
    <w:nsid w:val="E053EF84"/>
    <w:multiLevelType w:val="singleLevel"/>
    <w:tmpl w:val="E053EF84"/>
    <w:lvl w:ilvl="0" w:tentative="0">
      <w:start w:val="4"/>
      <w:numFmt w:val="chineseCounting"/>
      <w:suff w:val="nothing"/>
      <w:lvlText w:val="%1、"/>
      <w:lvlJc w:val="left"/>
      <w:rPr>
        <w:rFonts w:hint="eastAsia"/>
      </w:rPr>
    </w:lvl>
  </w:abstractNum>
  <w:abstractNum w:abstractNumId="4">
    <w:nsid w:val="42C9414D"/>
    <w:multiLevelType w:val="singleLevel"/>
    <w:tmpl w:val="42C9414D"/>
    <w:lvl w:ilvl="0" w:tentative="0">
      <w:start w:val="9"/>
      <w:numFmt w:val="chineseCounting"/>
      <w:suff w:val="nothing"/>
      <w:lvlText w:val="%1、"/>
      <w:lvlJc w:val="left"/>
      <w:rPr>
        <w:rFonts w:hint="eastAsia"/>
      </w:rPr>
    </w:lvl>
  </w:abstractNum>
  <w:abstractNum w:abstractNumId="5">
    <w:nsid w:val="550E7200"/>
    <w:multiLevelType w:val="singleLevel"/>
    <w:tmpl w:val="550E7200"/>
    <w:lvl w:ilvl="0" w:tentative="0">
      <w:start w:val="1"/>
      <w:numFmt w:val="chineseCounting"/>
      <w:suff w:val="nothing"/>
      <w:lvlText w:val="%1、"/>
      <w:lvlJc w:val="left"/>
      <w:rPr>
        <w:rFonts w:hint="eastAsia"/>
      </w:rPr>
    </w:lvl>
  </w:abstractNum>
  <w:num w:numId="1">
    <w:abstractNumId w:val="5"/>
  </w:num>
  <w:num w:numId="2">
    <w:abstractNumId w:val="3"/>
  </w:num>
  <w:num w:numId="3">
    <w:abstractNumId w:val="0"/>
  </w:num>
  <w:num w:numId="4">
    <w:abstractNumId w:val="4"/>
  </w:num>
  <w:num w:numId="5">
    <w:abstractNumId w:val="1"/>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387E2D"/>
    <w:rsid w:val="17A262A8"/>
    <w:rsid w:val="1A465ED6"/>
    <w:rsid w:val="1D97DEFF"/>
    <w:rsid w:val="1DFF72E5"/>
    <w:rsid w:val="1EFC6F07"/>
    <w:rsid w:val="24D66CAD"/>
    <w:rsid w:val="2AF66393"/>
    <w:rsid w:val="2D4E64EC"/>
    <w:rsid w:val="2DC63A1A"/>
    <w:rsid w:val="2FDF85B8"/>
    <w:rsid w:val="2FFFEE04"/>
    <w:rsid w:val="31D02EBB"/>
    <w:rsid w:val="32A24CA2"/>
    <w:rsid w:val="33602868"/>
    <w:rsid w:val="34DF85B0"/>
    <w:rsid w:val="3B8F36BC"/>
    <w:rsid w:val="3FC12622"/>
    <w:rsid w:val="41C21C11"/>
    <w:rsid w:val="48223168"/>
    <w:rsid w:val="48984B9D"/>
    <w:rsid w:val="491FF225"/>
    <w:rsid w:val="4FFD214C"/>
    <w:rsid w:val="5777D4F5"/>
    <w:rsid w:val="5909654B"/>
    <w:rsid w:val="59DD8326"/>
    <w:rsid w:val="5C917F20"/>
    <w:rsid w:val="5CAF4B36"/>
    <w:rsid w:val="5DEF592A"/>
    <w:rsid w:val="5FC6BB1E"/>
    <w:rsid w:val="5FF720F1"/>
    <w:rsid w:val="67A92B33"/>
    <w:rsid w:val="67FF5C0B"/>
    <w:rsid w:val="6D4D118A"/>
    <w:rsid w:val="6EFC0924"/>
    <w:rsid w:val="6FB74722"/>
    <w:rsid w:val="6FEF8B7E"/>
    <w:rsid w:val="71A6591B"/>
    <w:rsid w:val="723015EE"/>
    <w:rsid w:val="737D59BA"/>
    <w:rsid w:val="77C37683"/>
    <w:rsid w:val="78E3378A"/>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0"/>
    <w:link w:val="8"/>
    <w:qFormat/>
    <w:uiPriority w:val="99"/>
    <w:rPr>
      <w:sz w:val="18"/>
      <w:szCs w:val="18"/>
    </w:rPr>
  </w:style>
  <w:style w:type="character" w:customStyle="1" w:styleId="13">
    <w:name w:val="页脚 Char"/>
    <w:basedOn w:val="10"/>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6"/>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41</TotalTime>
  <ScaleCrop>false</ScaleCrop>
  <LinksUpToDate>false</LinksUpToDate>
  <CharactersWithSpaces>9786</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2026-09-29T09:30:14Z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4F0B27C0AAC35EFA9177686ADDD5E058</vt:lpwstr>
  </property>
</Properties>
</file>