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jc w:val="center"/>
        <w:rPr>
          <w:sz w:val="56"/>
          <w:szCs w:val="56"/>
        </w:rPr>
      </w:pPr>
    </w:p>
    <w:p>
      <w:pPr>
        <w:pStyle w:val="9"/>
        <w:jc w:val="center"/>
        <w:rPr>
          <w:sz w:val="56"/>
          <w:szCs w:val="56"/>
        </w:rPr>
      </w:pPr>
    </w:p>
    <w:p>
      <w:pPr>
        <w:pStyle w:val="9"/>
        <w:jc w:val="center"/>
        <w:rPr>
          <w:sz w:val="84"/>
          <w:szCs w:val="84"/>
        </w:rPr>
      </w:pPr>
    </w:p>
    <w:p>
      <w:pPr>
        <w:pStyle w:val="9"/>
        <w:jc w:val="center"/>
        <w:rPr>
          <w:sz w:val="84"/>
          <w:szCs w:val="84"/>
        </w:rPr>
      </w:pPr>
    </w:p>
    <w:p>
      <w:pPr>
        <w:pStyle w:val="9"/>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2022年度</w:t>
      </w:r>
    </w:p>
    <w:p>
      <w:pPr>
        <w:pStyle w:val="9"/>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永州市中医医院部门决算</w:t>
      </w:r>
    </w:p>
    <w:p>
      <w:pPr>
        <w:pStyle w:val="9"/>
        <w:jc w:val="center"/>
        <w:rPr>
          <w:rFonts w:ascii="方正小标宋_GBK" w:hAnsi="方正小标宋_GBK" w:eastAsia="方正小标宋_GBK" w:cs="方正小标宋_GBK"/>
          <w:sz w:val="56"/>
          <w:szCs w:val="56"/>
        </w:rPr>
      </w:pPr>
    </w:p>
    <w:p>
      <w:pPr>
        <w:pStyle w:val="9"/>
        <w:jc w:val="center"/>
        <w:rPr>
          <w:sz w:val="56"/>
          <w:szCs w:val="56"/>
        </w:rPr>
      </w:pPr>
    </w:p>
    <w:p>
      <w:pPr>
        <w:pStyle w:val="9"/>
        <w:jc w:val="center"/>
        <w:rPr>
          <w:sz w:val="56"/>
          <w:szCs w:val="56"/>
        </w:rPr>
      </w:pPr>
    </w:p>
    <w:p>
      <w:pPr>
        <w:pStyle w:val="9"/>
        <w:jc w:val="center"/>
        <w:rPr>
          <w:sz w:val="56"/>
          <w:szCs w:val="56"/>
        </w:rPr>
      </w:pPr>
    </w:p>
    <w:p>
      <w:pPr>
        <w:pStyle w:val="9"/>
        <w:jc w:val="center"/>
        <w:rPr>
          <w:sz w:val="32"/>
          <w:szCs w:val="32"/>
        </w:rPr>
      </w:pPr>
    </w:p>
    <w:p>
      <w:pPr>
        <w:pStyle w:val="9"/>
        <w:jc w:val="center"/>
        <w:rPr>
          <w:sz w:val="32"/>
          <w:szCs w:val="32"/>
        </w:rPr>
      </w:pPr>
    </w:p>
    <w:p>
      <w:pPr>
        <w:pStyle w:val="9"/>
        <w:jc w:val="center"/>
        <w:rPr>
          <w:sz w:val="32"/>
          <w:szCs w:val="32"/>
        </w:rPr>
      </w:pPr>
    </w:p>
    <w:p>
      <w:pPr>
        <w:pStyle w:val="9"/>
        <w:jc w:val="center"/>
        <w:rPr>
          <w:sz w:val="32"/>
          <w:szCs w:val="32"/>
        </w:rPr>
      </w:pPr>
    </w:p>
    <w:p>
      <w:pPr>
        <w:pStyle w:val="9"/>
        <w:jc w:val="center"/>
        <w:rPr>
          <w:sz w:val="32"/>
          <w:szCs w:val="32"/>
        </w:rPr>
      </w:pPr>
    </w:p>
    <w:p>
      <w:pPr>
        <w:pStyle w:val="9"/>
        <w:spacing w:line="540" w:lineRule="exact"/>
        <w:jc w:val="center"/>
        <w:rPr>
          <w:sz w:val="56"/>
          <w:szCs w:val="56"/>
        </w:rPr>
      </w:pPr>
    </w:p>
    <w:p>
      <w:pPr>
        <w:pStyle w:val="9"/>
        <w:spacing w:line="500" w:lineRule="exact"/>
        <w:jc w:val="both"/>
        <w:rPr>
          <w:b/>
          <w:sz w:val="36"/>
          <w:szCs w:val="28"/>
        </w:rPr>
      </w:pPr>
    </w:p>
    <w:p>
      <w:pPr>
        <w:pStyle w:val="9"/>
        <w:spacing w:line="500" w:lineRule="exact"/>
        <w:jc w:val="center"/>
        <w:rPr>
          <w:b/>
          <w:sz w:val="36"/>
          <w:szCs w:val="28"/>
        </w:rPr>
      </w:pPr>
      <w:r>
        <w:rPr>
          <w:rFonts w:hint="eastAsia"/>
          <w:b/>
          <w:sz w:val="36"/>
          <w:szCs w:val="28"/>
        </w:rPr>
        <w:t>目录</w:t>
      </w:r>
    </w:p>
    <w:p>
      <w:pPr>
        <w:pStyle w:val="9"/>
        <w:spacing w:line="500" w:lineRule="exact"/>
        <w:rPr>
          <w:rFonts w:hAnsi="黑体"/>
          <w:bCs/>
          <w:sz w:val="28"/>
          <w:szCs w:val="28"/>
        </w:rPr>
      </w:pPr>
      <w:r>
        <w:rPr>
          <w:rFonts w:hint="eastAsia" w:hAnsi="黑体"/>
          <w:bCs/>
          <w:sz w:val="28"/>
          <w:szCs w:val="28"/>
        </w:rPr>
        <w:t xml:space="preserve">第一部分 </w:t>
      </w:r>
      <w:r>
        <w:rPr>
          <w:rFonts w:hint="eastAsia" w:hAnsi="黑体"/>
          <w:bCs/>
          <w:color w:val="auto"/>
          <w:sz w:val="28"/>
          <w:szCs w:val="28"/>
        </w:rPr>
        <w:t>永州市中医医院</w:t>
      </w:r>
      <w:r>
        <w:rPr>
          <w:rFonts w:hint="eastAsia" w:hAnsi="黑体"/>
          <w:bCs/>
          <w:sz w:val="28"/>
          <w:szCs w:val="28"/>
        </w:rPr>
        <w:t>概况</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9"/>
        <w:spacing w:line="500" w:lineRule="exact"/>
        <w:rPr>
          <w:rFonts w:hAnsi="黑体"/>
          <w:bCs/>
          <w:sz w:val="28"/>
          <w:szCs w:val="28"/>
        </w:rPr>
      </w:pPr>
      <w:r>
        <w:rPr>
          <w:rFonts w:hint="eastAsia" w:hAnsi="黑体"/>
          <w:bCs/>
          <w:sz w:val="28"/>
          <w:szCs w:val="28"/>
        </w:rPr>
        <w:t>第二部分 部门决算表</w:t>
      </w:r>
      <w:r>
        <w:rPr>
          <w:rFonts w:hint="eastAsia" w:ascii="仿宋_GB2312" w:hAnsi="仿宋_GB2312" w:eastAsia="仿宋_GB2312" w:cs="仿宋_GB2312"/>
          <w:sz w:val="28"/>
          <w:szCs w:val="28"/>
        </w:rPr>
        <w:t>（说明：本套报表金额单位转换时可能存在尾数误差。）</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9"/>
        <w:spacing w:line="500" w:lineRule="exact"/>
        <w:rPr>
          <w:rFonts w:hAnsi="黑体"/>
          <w:bCs/>
          <w:sz w:val="28"/>
          <w:szCs w:val="28"/>
        </w:rPr>
      </w:pPr>
      <w:r>
        <w:rPr>
          <w:rFonts w:hint="eastAsia" w:hAnsi="黑体"/>
          <w:bCs/>
          <w:sz w:val="28"/>
          <w:szCs w:val="28"/>
        </w:rPr>
        <w:t>第三部分 部门决算情况说明</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9"/>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十三、关于预算绩效情况的说明</w:t>
      </w:r>
    </w:p>
    <w:p>
      <w:pPr>
        <w:pStyle w:val="9"/>
        <w:spacing w:line="500" w:lineRule="exact"/>
        <w:rPr>
          <w:rFonts w:hAnsi="黑体"/>
          <w:bCs/>
          <w:sz w:val="28"/>
          <w:szCs w:val="28"/>
        </w:rPr>
      </w:pPr>
      <w:r>
        <w:rPr>
          <w:rFonts w:hint="eastAsia" w:hAnsi="黑体"/>
          <w:bCs/>
          <w:sz w:val="28"/>
          <w:szCs w:val="28"/>
        </w:rPr>
        <w:t>第四部分 名词解释</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ascii="方正小标宋_GBK" w:hAnsi="方正小标宋_GBK" w:eastAsia="方正小标宋_GBK" w:cs="方正小标宋_GBK"/>
          <w:sz w:val="72"/>
          <w:szCs w:val="72"/>
        </w:rPr>
      </w:pPr>
    </w:p>
    <w:p>
      <w:pPr>
        <w:pStyle w:val="9"/>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9"/>
        <w:jc w:val="center"/>
        <w:rPr>
          <w:rFonts w:ascii="方正小标宋_GBK" w:hAnsi="方正小标宋_GBK" w:eastAsia="方正小标宋_GBK" w:cs="方正小标宋_GBK"/>
          <w:sz w:val="84"/>
          <w:szCs w:val="84"/>
        </w:rPr>
      </w:pPr>
    </w:p>
    <w:p>
      <w:pPr>
        <w:pStyle w:val="9"/>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永州市中医医院概况</w:t>
      </w: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0"/>
        <w:ind w:firstLine="960" w:firstLineChars="300"/>
        <w:jc w:val="left"/>
        <w:rPr>
          <w:rFonts w:ascii="黑体" w:hAnsi="黑体" w:eastAsia="黑体" w:cs="黑体"/>
          <w:sz w:val="32"/>
          <w:szCs w:val="32"/>
        </w:rPr>
      </w:pPr>
      <w:r>
        <w:rPr>
          <w:rFonts w:hint="eastAsia" w:ascii="黑体" w:hAnsi="黑体" w:eastAsia="黑体" w:cs="黑体"/>
          <w:sz w:val="32"/>
          <w:szCs w:val="32"/>
        </w:rPr>
        <w:t>一、部门职责</w:t>
      </w:r>
    </w:p>
    <w:p>
      <w:pPr>
        <w:widowControl/>
        <w:spacing w:line="600" w:lineRule="exact"/>
        <w:ind w:firstLine="960" w:firstLineChars="3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永州市中医医院创建于1955年，具有较大规模、科室设置齐全、技术力量雄厚、医疗设备完整的集医疗、教学、科研、预防、保健于一体的三级甲等中医医院。属市、县(区)两级医保及各类商业保险定点医院；全国中医住院医师规范化培训基地，国家执业医师(中医类)实践技能考试基地，湖南中医药大学临床教学医院，湖南医药学院附属医院，湖南中医药高等专科学校临床教学医院，湖南省中医全科医生培养基地，湖南省中医助理全科医生培养基地，永州市高校毕业生就业见习基地。</w:t>
      </w:r>
    </w:p>
    <w:p>
      <w:pPr>
        <w:widowControl/>
        <w:spacing w:line="600" w:lineRule="exact"/>
        <w:ind w:firstLine="960" w:firstLineChars="300"/>
        <w:rPr>
          <w:rFonts w:ascii="黑体" w:hAnsi="黑体" w:eastAsia="黑体" w:cs="黑体"/>
          <w:kern w:val="0"/>
          <w:sz w:val="32"/>
          <w:szCs w:val="32"/>
        </w:rPr>
      </w:pPr>
      <w:r>
        <w:rPr>
          <w:rFonts w:hint="eastAsia" w:ascii="黑体" w:hAnsi="黑体" w:eastAsia="黑体" w:cs="黑体"/>
          <w:sz w:val="32"/>
          <w:szCs w:val="32"/>
        </w:rPr>
        <w:t>二、机构设置及决算单位构成</w:t>
      </w:r>
    </w:p>
    <w:p>
      <w:pPr>
        <w:widowControl/>
        <w:spacing w:line="600" w:lineRule="exact"/>
        <w:ind w:firstLine="960" w:firstLineChars="300"/>
        <w:rPr>
          <w:rFonts w:ascii="仿宋_GB2312" w:hAnsi="仿宋_GB2312" w:eastAsia="仿宋_GB2312" w:cs="仿宋_GB2312"/>
          <w:bCs/>
          <w:kern w:val="0"/>
          <w:sz w:val="32"/>
          <w:szCs w:val="32"/>
        </w:rPr>
      </w:pPr>
      <w:r>
        <w:rPr>
          <w:rFonts w:hint="eastAsia" w:ascii="楷体_GB2312" w:hAnsi="楷体_GB2312" w:eastAsia="楷体_GB2312" w:cs="楷体_GB2312"/>
          <w:b/>
          <w:kern w:val="0"/>
          <w:sz w:val="32"/>
          <w:szCs w:val="32"/>
        </w:rPr>
        <w:t>（一）内设机构设置。</w:t>
      </w:r>
      <w:r>
        <w:rPr>
          <w:rFonts w:hint="eastAsia" w:ascii="仿宋_GB2312" w:hAnsi="仿宋_GB2312" w:eastAsia="仿宋_GB2312" w:cs="仿宋_GB2312"/>
          <w:bCs/>
          <w:kern w:val="0"/>
          <w:sz w:val="32"/>
          <w:szCs w:val="32"/>
        </w:rPr>
        <w:t>永州市中医医院设有内、外、妇、儿、针灸、骨伤、介入、康复、治未病、重症医学等60余个临床和医技科室，行政综合部、人力资源部、医务部、护理部、质量控制部、科教部、统计病案部、内审部、财务部等20个职能科室。2022年本单位年末实有人数638人，比上年变动了增加36人。</w:t>
      </w:r>
    </w:p>
    <w:p>
      <w:pPr>
        <w:widowControl/>
        <w:spacing w:line="600" w:lineRule="exact"/>
        <w:ind w:firstLine="960" w:firstLineChars="300"/>
        <w:rPr>
          <w:rFonts w:ascii="Times New Roman" w:hAnsi="Times New Roman" w:eastAsia="仿宋_GB2312" w:cs="黑体"/>
          <w:color w:val="000000"/>
          <w:kern w:val="0"/>
          <w:sz w:val="32"/>
          <w:szCs w:val="32"/>
        </w:rPr>
      </w:pPr>
      <w:r>
        <w:rPr>
          <w:rFonts w:hint="eastAsia" w:ascii="楷体_GB2312" w:hAnsi="楷体_GB2312" w:eastAsia="楷体_GB2312" w:cs="楷体_GB2312"/>
          <w:b/>
          <w:kern w:val="0"/>
          <w:sz w:val="32"/>
          <w:szCs w:val="32"/>
        </w:rPr>
        <w:t>（二）决算单位构成。</w:t>
      </w:r>
      <w:r>
        <w:rPr>
          <w:rFonts w:hint="eastAsia" w:ascii="Times New Roman" w:hAnsi="Times New Roman" w:eastAsia="仿宋_GB2312" w:cs="黑体"/>
          <w:color w:val="000000"/>
          <w:kern w:val="0"/>
          <w:sz w:val="32"/>
          <w:szCs w:val="32"/>
        </w:rPr>
        <w:t>永州市中医医院2022年部门决算汇总公开单位构成包括：永州市中医医院本级。</w:t>
      </w:r>
    </w:p>
    <w:p>
      <w:pPr>
        <w:jc w:val="left"/>
        <w:rPr>
          <w:rFonts w:ascii="仿宋_GB2312" w:eastAsia="仿宋_GB2312" w:hAnsiTheme="minorEastAsia"/>
          <w:sz w:val="28"/>
          <w:szCs w:val="32"/>
        </w:rPr>
      </w:pP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rFonts w:ascii="黑体" w:hAnsi="黑体" w:eastAsia="黑体"/>
          <w:sz w:val="28"/>
          <w:szCs w:val="28"/>
        </w:rPr>
      </w:pPr>
    </w:p>
    <w:p>
      <w:pPr>
        <w:jc w:val="center"/>
        <w:rPr>
          <w:sz w:val="72"/>
          <w:szCs w:val="72"/>
        </w:rPr>
      </w:pPr>
    </w:p>
    <w:p>
      <w:pPr>
        <w:jc w:val="center"/>
        <w:rPr>
          <w:sz w:val="72"/>
          <w:szCs w:val="72"/>
        </w:rPr>
      </w:pPr>
    </w:p>
    <w:p>
      <w:pPr>
        <w:jc w:val="both"/>
        <w:rPr>
          <w:sz w:val="72"/>
          <w:szCs w:val="72"/>
        </w:rPr>
      </w:pPr>
    </w:p>
    <w:p>
      <w:pPr>
        <w:pStyle w:val="9"/>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9"/>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rFonts w:ascii="楷体_GB2312" w:hAnsi="楷体_GB2312" w:eastAsia="楷体_GB2312" w:cs="楷体_GB2312"/>
          <w:b/>
          <w:bCs/>
          <w:color w:val="000000"/>
          <w:kern w:val="0"/>
          <w:sz w:val="52"/>
          <w:szCs w:val="52"/>
        </w:rPr>
      </w:pPr>
      <w:r>
        <w:rPr>
          <w:rFonts w:hint="eastAsia" w:ascii="楷体_GB2312" w:hAnsi="楷体_GB2312" w:eastAsia="楷体_GB2312" w:cs="楷体_GB2312"/>
          <w:b/>
          <w:bCs/>
          <w:color w:val="000000"/>
          <w:kern w:val="0"/>
          <w:sz w:val="52"/>
          <w:szCs w:val="52"/>
        </w:rPr>
        <w:t>（详见附表）</w:t>
      </w:r>
    </w:p>
    <w:p>
      <w:pPr>
        <w:pStyle w:val="9"/>
        <w:rPr>
          <w:sz w:val="72"/>
          <w:szCs w:val="72"/>
        </w:rPr>
      </w:pPr>
    </w:p>
    <w:p>
      <w:pPr>
        <w:pStyle w:val="9"/>
        <w:rPr>
          <w:sz w:val="72"/>
          <w:szCs w:val="72"/>
        </w:rPr>
      </w:pPr>
    </w:p>
    <w:p>
      <w:pPr>
        <w:pStyle w:val="9"/>
        <w:jc w:val="center"/>
        <w:rPr>
          <w:sz w:val="72"/>
          <w:szCs w:val="72"/>
        </w:rPr>
      </w:pPr>
    </w:p>
    <w:p>
      <w:pPr>
        <w:pStyle w:val="9"/>
        <w:jc w:val="center"/>
        <w:rPr>
          <w:rFonts w:ascii="方正小标宋_GBK" w:hAnsi="方正小标宋_GBK" w:eastAsia="方正小标宋_GBK" w:cs="方正小标宋_GBK"/>
          <w:sz w:val="72"/>
          <w:szCs w:val="72"/>
        </w:rPr>
      </w:pPr>
    </w:p>
    <w:p>
      <w:pPr>
        <w:pStyle w:val="9"/>
        <w:jc w:val="center"/>
        <w:rPr>
          <w:rFonts w:hint="eastAsia" w:ascii="方正小标宋_GBK" w:hAnsi="方正小标宋_GBK" w:eastAsia="方正小标宋_GBK" w:cs="方正小标宋_GBK"/>
          <w:sz w:val="72"/>
          <w:szCs w:val="72"/>
        </w:rPr>
      </w:pPr>
    </w:p>
    <w:p>
      <w:pPr>
        <w:pStyle w:val="9"/>
        <w:jc w:val="center"/>
        <w:rPr>
          <w:rFonts w:hint="eastAsia" w:ascii="方正小标宋_GBK" w:hAnsi="方正小标宋_GBK" w:eastAsia="方正小标宋_GBK" w:cs="方正小标宋_GBK"/>
          <w:sz w:val="72"/>
          <w:szCs w:val="72"/>
        </w:rPr>
      </w:pPr>
    </w:p>
    <w:p>
      <w:pPr>
        <w:pStyle w:val="9"/>
        <w:jc w:val="center"/>
        <w:rPr>
          <w:rFonts w:hint="eastAsia" w:ascii="方正小标宋_GBK" w:hAnsi="方正小标宋_GBK" w:eastAsia="方正小标宋_GBK" w:cs="方正小标宋_GBK"/>
          <w:sz w:val="72"/>
          <w:szCs w:val="72"/>
        </w:rPr>
      </w:pPr>
    </w:p>
    <w:p>
      <w:pPr>
        <w:pStyle w:val="9"/>
        <w:jc w:val="center"/>
        <w:rPr>
          <w:rFonts w:hint="eastAsia" w:ascii="方正小标宋_GBK" w:hAnsi="方正小标宋_GBK" w:eastAsia="方正小标宋_GBK" w:cs="方正小标宋_GBK"/>
          <w:sz w:val="72"/>
          <w:szCs w:val="72"/>
        </w:rPr>
      </w:pPr>
    </w:p>
    <w:p>
      <w:pPr>
        <w:pStyle w:val="9"/>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9"/>
        <w:jc w:val="center"/>
        <w:rPr>
          <w:rFonts w:ascii="方正小标宋_GBK" w:hAnsi="方正小标宋_GBK" w:eastAsia="方正小标宋_GBK" w:cs="方正小标宋_GBK"/>
          <w:sz w:val="70"/>
          <w:szCs w:val="70"/>
        </w:rPr>
      </w:pPr>
    </w:p>
    <w:p>
      <w:pPr>
        <w:pStyle w:val="9"/>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2022年度部门决算情况说明</w:t>
      </w:r>
    </w:p>
    <w:p>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pPr>
        <w:pStyle w:val="9"/>
        <w:spacing w:line="600" w:lineRule="exact"/>
        <w:ind w:firstLine="640" w:firstLineChars="200"/>
        <w:rPr>
          <w:rFonts w:hAnsi="黑体"/>
          <w:bCs/>
          <w:sz w:val="32"/>
          <w:szCs w:val="32"/>
        </w:rPr>
      </w:pPr>
      <w:r>
        <w:rPr>
          <w:rFonts w:hint="eastAsia" w:hAnsi="黑体"/>
          <w:bCs/>
          <w:sz w:val="32"/>
          <w:szCs w:val="32"/>
        </w:rPr>
        <w:t>一、收入支出决算总体情况说明</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2022年度收入总计22422.47万元。与上年相比，减少950.85万元，减少4.07%，主要是因为疫情影响，就诊人数减少所致事业收入减少。</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2022年度支出总计22422.47万元。与上年相比，减少1446.93万元，减少6.06%，主要是因为卫生健康支出减少。</w:t>
      </w:r>
    </w:p>
    <w:p>
      <w:pPr>
        <w:pStyle w:val="9"/>
        <w:spacing w:line="600" w:lineRule="exact"/>
        <w:ind w:firstLine="640" w:firstLineChars="200"/>
        <w:rPr>
          <w:rFonts w:hAnsi="黑体"/>
          <w:bCs/>
          <w:sz w:val="32"/>
          <w:szCs w:val="32"/>
        </w:rPr>
      </w:pPr>
      <w:r>
        <w:rPr>
          <w:rFonts w:hint="eastAsia" w:hAnsi="黑体"/>
          <w:bCs/>
          <w:sz w:val="32"/>
          <w:szCs w:val="32"/>
        </w:rPr>
        <w:t>二、收入决算情况说明</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2022年度收入合计22336.42万元，其中：财政拨款收入829.14万元，占3.71%；上级补助收入0万元，占0%；事业收入21484.21万元，占96.18%；经营收入0万元，占0%；附属单位上缴收入0万元，占0%；其他收入23.07万元，占0.11%。</w:t>
      </w:r>
    </w:p>
    <w:p>
      <w:pPr>
        <w:pStyle w:val="9"/>
        <w:spacing w:line="600" w:lineRule="exact"/>
        <w:ind w:firstLine="640" w:firstLineChars="200"/>
        <w:rPr>
          <w:rFonts w:hAnsi="黑体"/>
          <w:bCs/>
          <w:sz w:val="32"/>
          <w:szCs w:val="32"/>
        </w:rPr>
      </w:pPr>
      <w:r>
        <w:rPr>
          <w:rFonts w:hint="eastAsia" w:hAnsi="黑体"/>
          <w:bCs/>
          <w:sz w:val="32"/>
          <w:szCs w:val="32"/>
        </w:rPr>
        <w:t>三、支出决算情况说明</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2022年度支出合计22422.47万元，其中：基本支出21745.61万元，占96.98%；项目支出676.86万元，占3.02%；上缴上级支出0万元，占0%；经营支出0万元，占0%；对附属单位补助支出0万元，占0%。</w:t>
      </w:r>
    </w:p>
    <w:p>
      <w:pPr>
        <w:pStyle w:val="9"/>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2022年度财政拨款收入总计829.14万元，与上年相比，增加227.76万元,增长37.87%，主要是因为本年度财政拨款项目的数量增加且部分上年度的财政拨款项目在今年度进行拨款。</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2022年度财政拨款支出总计829.14万元，与上年相比，增加271.67万元,增长48.73%，主要是因为本年度有新增的财政拨款项目开支及上年度未完成的财政拨款项目的开支。</w:t>
      </w:r>
    </w:p>
    <w:p>
      <w:pPr>
        <w:pStyle w:val="9"/>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pPr>
        <w:pStyle w:val="9"/>
        <w:spacing w:line="600" w:lineRule="exact"/>
        <w:ind w:firstLine="640"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（一）财政拨款支出决算总体情况</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2022年度财政拨款支出829.14万元，占本年支出合计的3.70%，与上年相比，财政拨款支出增加271.67万元,增长48.73%，主要是因为本年度有新增的财政拨款项目开支及上年度未完成的财政拨款项目的开支。</w:t>
      </w:r>
    </w:p>
    <w:p>
      <w:pPr>
        <w:pStyle w:val="9"/>
        <w:spacing w:line="600" w:lineRule="exact"/>
        <w:ind w:firstLine="640"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（二）财政拨款支出决算结构情况</w:t>
      </w:r>
    </w:p>
    <w:p>
      <w:pPr>
        <w:pStyle w:val="9"/>
        <w:ind w:firstLine="640" w:firstLineChars="200"/>
        <w:rPr>
          <w:rFonts w:asciiTheme="minorEastAsia" w:hAnsiTheme="minorEastAsia" w:eastAsiaTheme="minorEastAsia"/>
          <w:color w:val="FF0000"/>
          <w:sz w:val="32"/>
          <w:szCs w:val="32"/>
        </w:rPr>
      </w:pPr>
      <w:r>
        <w:rPr>
          <w:rFonts w:hint="eastAsia" w:ascii="Times New Roman" w:hAnsi="Times New Roman" w:eastAsia="仿宋_GB2312"/>
          <w:sz w:val="32"/>
          <w:szCs w:val="32"/>
        </w:rPr>
        <w:t>2022年度财政拨款支出829.14万元，主要用于以下方面：社会保障和就业（类）支出16.21万元，占1.96%；卫生健康（类）支出812.93万元，占98.04%。</w:t>
      </w:r>
    </w:p>
    <w:p>
      <w:pPr>
        <w:pStyle w:val="9"/>
        <w:spacing w:line="600" w:lineRule="exact"/>
        <w:ind w:firstLine="640"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（三）财政拨款支出决算具体情况</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2022年度财政拨款支出年初预算数为960万元，支出决算数为829.14万元，完成年初预算的86.37%，其中：</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1、社会保障和就业支出（类）抚恤（款）死亡抚恤（项）。</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万元，支出决算为15.33万元，决算数大于年初预算数的主要原因是财政部门年中追加安排死亡抚恤经费。</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2、社会保障和就业支出（类）其他社会保障和就业支出（款）其他社会保障和就业支出（项）。</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万元，支出决算为0.88万元，决算数大于年初预算数的主要原因是财政部门年中追加安排其他社会保障和就业支出经费。</w:t>
      </w:r>
    </w:p>
    <w:p>
      <w:pPr>
        <w:pStyle w:val="9"/>
        <w:numPr>
          <w:ilvl w:val="0"/>
          <w:numId w:val="1"/>
        </w:numP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卫生健康支出（类）公立医院（款）中医（民族）医院（项）。</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136</w:t>
      </w:r>
      <w:r>
        <w:rPr>
          <w:rFonts w:hint="eastAsia" w:ascii="Times New Roman" w:hAnsi="Times New Roman" w:eastAsia="仿宋_GB2312"/>
          <w:sz w:val="32"/>
          <w:szCs w:val="32"/>
        </w:rPr>
        <w:t>万元，支出决算为136.07万元，完成年初预算的</w:t>
      </w:r>
      <w:r>
        <w:rPr>
          <w:rFonts w:hint="eastAsia" w:ascii="Times New Roman" w:hAnsi="Times New Roman" w:eastAsia="仿宋_GB2312"/>
          <w:sz w:val="32"/>
          <w:szCs w:val="32"/>
          <w:lang w:val="en-US" w:eastAsia="zh-CN"/>
        </w:rPr>
        <w:t>100.05</w:t>
      </w:r>
      <w:r>
        <w:rPr>
          <w:rFonts w:hint="eastAsia" w:ascii="Times New Roman" w:hAnsi="Times New Roman" w:eastAsia="仿宋_GB2312"/>
          <w:sz w:val="32"/>
          <w:szCs w:val="32"/>
        </w:rPr>
        <w:t>%，决算数大于年初预算数的主要原因是财政部门年中追加安排中医（民族）医院经费。</w:t>
      </w:r>
    </w:p>
    <w:p>
      <w:pPr>
        <w:pStyle w:val="9"/>
        <w:numPr>
          <w:ilvl w:val="0"/>
          <w:numId w:val="1"/>
        </w:numP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卫生健康支出（类）公立医院（款）其他公立医院支出（项）。</w:t>
      </w:r>
    </w:p>
    <w:p>
      <w:pPr>
        <w:pStyle w:val="9"/>
        <w:spacing w:line="600" w:lineRule="exact"/>
        <w:ind w:firstLine="800" w:firstLineChars="25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213</w:t>
      </w:r>
      <w:r>
        <w:rPr>
          <w:rFonts w:hint="eastAsia" w:ascii="Times New Roman" w:hAnsi="Times New Roman" w:eastAsia="仿宋_GB2312"/>
          <w:sz w:val="32"/>
          <w:szCs w:val="32"/>
        </w:rPr>
        <w:t>万元，支出决算为175.12万元，完成年初预算的</w:t>
      </w:r>
      <w:r>
        <w:rPr>
          <w:rFonts w:hint="eastAsia" w:ascii="Times New Roman" w:hAnsi="Times New Roman" w:eastAsia="仿宋_GB2312"/>
          <w:sz w:val="32"/>
          <w:szCs w:val="32"/>
          <w:lang w:val="en-US" w:eastAsia="zh-CN"/>
        </w:rPr>
        <w:t>82.22</w:t>
      </w:r>
      <w:r>
        <w:rPr>
          <w:rFonts w:hint="eastAsia" w:ascii="Times New Roman" w:hAnsi="Times New Roman" w:eastAsia="仿宋_GB2312"/>
          <w:sz w:val="32"/>
          <w:szCs w:val="32"/>
        </w:rPr>
        <w:t>%，决算数小于年初预算数</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主要原因是相关项目未开展完毕，下年需继续开展，</w:t>
      </w:r>
      <w:r>
        <w:rPr>
          <w:rFonts w:hint="eastAsia" w:ascii="Times New Roman" w:hAnsi="Times New Roman" w:eastAsia="仿宋_GB2312"/>
          <w:sz w:val="32"/>
          <w:szCs w:val="32"/>
          <w:lang w:eastAsia="zh-CN"/>
        </w:rPr>
        <w:t>结转资金按规定结转下年继续使用。</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5、卫生健康支出（类）公共卫生（款）突发公共卫生事件应急处理（项）。</w:t>
      </w:r>
    </w:p>
    <w:p>
      <w:pPr>
        <w:pStyle w:val="9"/>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119</w:t>
      </w:r>
      <w:r>
        <w:rPr>
          <w:rFonts w:hint="eastAsia" w:ascii="Times New Roman" w:hAnsi="Times New Roman" w:eastAsia="仿宋_GB2312"/>
          <w:sz w:val="32"/>
          <w:szCs w:val="32"/>
        </w:rPr>
        <w:t>万元，支出决算为97.52万元，完成年初预算的</w:t>
      </w:r>
      <w:r>
        <w:rPr>
          <w:rFonts w:hint="eastAsia" w:ascii="Times New Roman" w:hAnsi="Times New Roman" w:eastAsia="仿宋_GB2312"/>
          <w:sz w:val="32"/>
          <w:szCs w:val="32"/>
          <w:lang w:val="en-US" w:eastAsia="zh-CN"/>
        </w:rPr>
        <w:t>81.95</w:t>
      </w:r>
      <w:r>
        <w:rPr>
          <w:rFonts w:hint="eastAsia" w:ascii="Times New Roman" w:hAnsi="Times New Roman" w:eastAsia="仿宋_GB2312"/>
          <w:sz w:val="32"/>
          <w:szCs w:val="32"/>
        </w:rPr>
        <w:t>%，决算数小于年初预算数</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主要原因是相关项目未开展完毕，下年需继续开展，</w:t>
      </w:r>
      <w:r>
        <w:rPr>
          <w:rFonts w:hint="eastAsia" w:ascii="Times New Roman" w:hAnsi="Times New Roman" w:eastAsia="仿宋_GB2312"/>
          <w:sz w:val="32"/>
          <w:szCs w:val="32"/>
        </w:rPr>
        <w:t>结转资金按规定结转下年继续使用。</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6、卫生健康支出（类）公共卫生（款）其他公共卫生支出（项）。</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332</w:t>
      </w:r>
      <w:r>
        <w:rPr>
          <w:rFonts w:hint="eastAsia" w:ascii="Times New Roman" w:hAnsi="Times New Roman" w:eastAsia="仿宋_GB2312"/>
          <w:sz w:val="32"/>
          <w:szCs w:val="32"/>
        </w:rPr>
        <w:t>万元，支出决算为272.72万元，完成年初预算的</w:t>
      </w:r>
      <w:r>
        <w:rPr>
          <w:rFonts w:hint="eastAsia" w:ascii="Times New Roman" w:hAnsi="Times New Roman" w:eastAsia="仿宋_GB2312"/>
          <w:sz w:val="32"/>
          <w:szCs w:val="32"/>
          <w:lang w:val="en-US" w:eastAsia="zh-CN"/>
        </w:rPr>
        <w:t>82.14</w:t>
      </w:r>
      <w:r>
        <w:rPr>
          <w:rFonts w:hint="eastAsia" w:ascii="Times New Roman" w:hAnsi="Times New Roman" w:eastAsia="仿宋_GB2312"/>
          <w:sz w:val="32"/>
          <w:szCs w:val="32"/>
        </w:rPr>
        <w:t>%，决算数小于年初预算数</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主要原因是相关项目未开展完毕，下年需继续开展，</w:t>
      </w:r>
      <w:r>
        <w:rPr>
          <w:rFonts w:hint="eastAsia" w:ascii="Times New Roman" w:hAnsi="Times New Roman" w:eastAsia="仿宋_GB2312"/>
          <w:sz w:val="32"/>
          <w:szCs w:val="32"/>
        </w:rPr>
        <w:t>结转资金按规定结转下年继续使用。</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7、卫生健康支出（类）中医药（款）中医（民族医）药专项（项）。</w:t>
      </w:r>
    </w:p>
    <w:p>
      <w:pPr>
        <w:pStyle w:val="9"/>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160</w:t>
      </w:r>
      <w:r>
        <w:rPr>
          <w:rFonts w:hint="eastAsia" w:ascii="Times New Roman" w:hAnsi="Times New Roman" w:eastAsia="仿宋_GB2312"/>
          <w:sz w:val="32"/>
          <w:szCs w:val="32"/>
        </w:rPr>
        <w:t>万元，支出决算为131.50万元，完成年初预算的</w:t>
      </w:r>
      <w:r>
        <w:rPr>
          <w:rFonts w:hint="eastAsia" w:ascii="Times New Roman" w:hAnsi="Times New Roman" w:eastAsia="仿宋_GB2312"/>
          <w:sz w:val="32"/>
          <w:szCs w:val="32"/>
          <w:lang w:val="en-US" w:eastAsia="zh-CN"/>
        </w:rPr>
        <w:t>82.19</w:t>
      </w:r>
      <w:r>
        <w:rPr>
          <w:rFonts w:hint="eastAsia" w:ascii="Times New Roman" w:hAnsi="Times New Roman" w:eastAsia="仿宋_GB2312"/>
          <w:sz w:val="32"/>
          <w:szCs w:val="32"/>
        </w:rPr>
        <w:t>%，决算数小于年初预算数</w:t>
      </w:r>
      <w:r>
        <w:rPr>
          <w:rFonts w:hint="eastAsia" w:ascii="Times New Roman" w:hAnsi="Times New Roman" w:eastAsia="仿宋_GB2312"/>
          <w:color w:val="auto"/>
          <w:sz w:val="32"/>
          <w:szCs w:val="32"/>
          <w:lang w:val="en-US" w:eastAsia="zh-CN"/>
        </w:rPr>
        <w:t>,</w:t>
      </w:r>
      <w:r>
        <w:rPr>
          <w:rFonts w:hint="eastAsia" w:ascii="Times New Roman" w:hAnsi="Times New Roman" w:eastAsia="仿宋_GB2312"/>
          <w:color w:val="auto"/>
          <w:sz w:val="32"/>
          <w:szCs w:val="32"/>
          <w:lang w:eastAsia="zh-CN"/>
        </w:rPr>
        <w:t>主要原因是相关项目未开展完毕，下年需继续开展，</w:t>
      </w:r>
      <w:r>
        <w:rPr>
          <w:rFonts w:hint="eastAsia" w:ascii="Times New Roman" w:hAnsi="Times New Roman" w:eastAsia="仿宋_GB2312"/>
          <w:sz w:val="32"/>
          <w:szCs w:val="32"/>
        </w:rPr>
        <w:t>结转资金按规定结转下年继续使用。</w:t>
      </w:r>
    </w:p>
    <w:p>
      <w:pPr>
        <w:pStyle w:val="9"/>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pPr>
        <w:pStyle w:val="9"/>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2022年度财政拨款基本支出136.07万元，其中：</w:t>
      </w:r>
    </w:p>
    <w:p>
      <w:pPr>
        <w:pStyle w:val="9"/>
        <w:spacing w:line="600" w:lineRule="exact"/>
        <w:ind w:firstLine="640" w:firstLineChars="200"/>
        <w:rPr>
          <w:rFonts w:hint="eastAsia" w:ascii="Times New Roman" w:hAnsi="Times New Roman" w:eastAsia="仿宋"/>
          <w:color w:val="auto"/>
          <w:sz w:val="32"/>
          <w:szCs w:val="32"/>
          <w:lang w:eastAsia="zh-CN"/>
        </w:rPr>
      </w:pPr>
      <w:r>
        <w:rPr>
          <w:rFonts w:hint="eastAsia" w:ascii="仿宋" w:hAnsi="仿宋" w:eastAsia="仿宋" w:cs="仿宋"/>
          <w:b w:val="0"/>
          <w:bCs w:val="0"/>
          <w:sz w:val="32"/>
          <w:szCs w:val="32"/>
        </w:rPr>
        <w:t>人员经费1</w:t>
      </w:r>
      <w:r>
        <w:rPr>
          <w:rFonts w:hint="eastAsia" w:ascii="仿宋" w:hAnsi="仿宋" w:eastAsia="仿宋" w:cs="仿宋"/>
          <w:sz w:val="32"/>
          <w:szCs w:val="32"/>
        </w:rPr>
        <w:t>36.07万元，占基本支出的100%，主要包括基本工资</w:t>
      </w:r>
      <w:r>
        <w:rPr>
          <w:rFonts w:hint="eastAsia" w:ascii="仿宋" w:hAnsi="仿宋" w:eastAsia="仿宋" w:cs="仿宋"/>
          <w:sz w:val="32"/>
          <w:szCs w:val="32"/>
          <w:lang w:eastAsia="zh-CN"/>
        </w:rPr>
        <w:t>、</w:t>
      </w:r>
      <w:r>
        <w:rPr>
          <w:rFonts w:hint="eastAsia" w:ascii="仿宋" w:hAnsi="仿宋" w:eastAsia="仿宋" w:cs="仿宋"/>
          <w:color w:val="auto"/>
          <w:sz w:val="32"/>
          <w:szCs w:val="32"/>
          <w:lang w:eastAsia="zh-CN"/>
        </w:rPr>
        <w:t>抚恤金、其他对个人和家庭的补助。</w:t>
      </w:r>
      <w:bookmarkStart w:id="0" w:name="_GoBack"/>
      <w:bookmarkEnd w:id="0"/>
    </w:p>
    <w:p>
      <w:pPr>
        <w:pStyle w:val="9"/>
        <w:numPr>
          <w:ilvl w:val="0"/>
          <w:numId w:val="2"/>
        </w:numPr>
        <w:spacing w:line="600" w:lineRule="exact"/>
        <w:ind w:firstLine="640" w:firstLineChars="200"/>
        <w:rPr>
          <w:rFonts w:hAnsi="黑体"/>
          <w:bCs/>
          <w:sz w:val="32"/>
          <w:szCs w:val="32"/>
        </w:rPr>
      </w:pPr>
      <w:r>
        <w:rPr>
          <w:rFonts w:hint="eastAsia" w:hAnsi="黑体"/>
          <w:bCs/>
          <w:sz w:val="32"/>
          <w:szCs w:val="32"/>
        </w:rPr>
        <w:t>财政拨款三公经费支出决算情况说明</w:t>
      </w:r>
    </w:p>
    <w:p>
      <w:pPr>
        <w:pStyle w:val="9"/>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pPr>
        <w:pStyle w:val="9"/>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7.29</w:t>
      </w:r>
      <w:r>
        <w:rPr>
          <w:rFonts w:hint="eastAsia" w:ascii="Times New Roman" w:hAnsi="Times New Roman" w:eastAsia="仿宋_GB2312"/>
          <w:sz w:val="32"/>
          <w:szCs w:val="32"/>
        </w:rPr>
        <w:t>万元，支出决算为7.29万元，完成预算的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0%，其中：</w:t>
      </w:r>
    </w:p>
    <w:p>
      <w:pPr>
        <w:pStyle w:val="9"/>
        <w:spacing w:line="600" w:lineRule="exact"/>
        <w:ind w:firstLine="800" w:firstLineChars="25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因公出国（境）费支出预算为0万元，支出决算为0万元，</w:t>
      </w:r>
      <w:r>
        <w:rPr>
          <w:rFonts w:hint="eastAsia" w:ascii="Times New Roman" w:hAnsi="Times New Roman" w:eastAsia="仿宋_GB2312"/>
          <w:sz w:val="32"/>
          <w:szCs w:val="32"/>
          <w:lang w:val="en" w:eastAsia="zh-CN"/>
        </w:rPr>
        <w:t>决算数等于预算数，与上年保持一致。</w:t>
      </w:r>
    </w:p>
    <w:p>
      <w:pPr>
        <w:pStyle w:val="9"/>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公务接待费支出预算为0万元，支出决算为0万元，完成预算的0%。</w:t>
      </w:r>
    </w:p>
    <w:p>
      <w:pPr>
        <w:pStyle w:val="9"/>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公务用车购置费支出预算为0万元，支出决算为0万元，完成预算的0%</w:t>
      </w:r>
      <w:r>
        <w:rPr>
          <w:rFonts w:hint="eastAsia" w:ascii="Times New Roman" w:hAnsi="Times New Roman" w:eastAsia="仿宋_GB2312"/>
          <w:sz w:val="32"/>
          <w:szCs w:val="32"/>
        </w:rPr>
        <w:t>。</w:t>
      </w:r>
    </w:p>
    <w:p>
      <w:pPr>
        <w:pStyle w:val="9"/>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7.29</w:t>
      </w:r>
      <w:r>
        <w:rPr>
          <w:rFonts w:hint="eastAsia" w:ascii="Times New Roman" w:hAnsi="Times New Roman" w:eastAsia="仿宋_GB2312"/>
          <w:sz w:val="32"/>
          <w:szCs w:val="32"/>
        </w:rPr>
        <w:t>万元，支出决算为7.29万元，与上年相比增加4.98万元，增长的主要原因是中医药资源普查项目需外出搜集资料产生的租车费。</w:t>
      </w:r>
    </w:p>
    <w:p>
      <w:pPr>
        <w:pStyle w:val="9"/>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2022年度“三公”经费财政拨款支出决算中，公务接待费支出决算0万元，占0%</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因公出国（境）费支出决算0万元，占0%</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公务用车购置费及运行维护费支出决算7.29万元，占100%。其中：</w:t>
      </w:r>
    </w:p>
    <w:p>
      <w:pPr>
        <w:pStyle w:val="9"/>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1、</w:t>
      </w:r>
      <w:r>
        <w:rPr>
          <w:rFonts w:hint="eastAsia" w:ascii="Times New Roman" w:hAnsi="Times New Roman" w:eastAsia="仿宋_GB2312"/>
          <w:color w:val="auto"/>
          <w:sz w:val="32"/>
          <w:szCs w:val="32"/>
        </w:rPr>
        <w:t>因公出国（境）费支出决算为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万元，全年安排因公出国（境）团组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个，累计</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人次</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2022年度我单位未开展因公出国（境）活动。</w:t>
      </w:r>
    </w:p>
    <w:p>
      <w:pPr>
        <w:pStyle w:val="9"/>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2、公务接待费支出决算为0万元</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全年共接待来访团组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个、来宾</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人次。</w:t>
      </w:r>
    </w:p>
    <w:p>
      <w:pPr>
        <w:spacing w:line="600" w:lineRule="exact"/>
        <w:ind w:firstLine="640" w:firstLineChars="200"/>
        <w:rPr>
          <w:rFonts w:ascii="楷体" w:hAnsi="楷体" w:eastAsia="楷体" w:cs="楷体"/>
          <w:b/>
          <w:bCs/>
          <w:i/>
          <w:color w:val="auto"/>
          <w:kern w:val="0"/>
          <w:sz w:val="32"/>
          <w:szCs w:val="32"/>
        </w:rPr>
      </w:pPr>
      <w:r>
        <w:rPr>
          <w:rFonts w:hint="eastAsia" w:ascii="Times New Roman" w:hAnsi="Times New Roman" w:eastAsia="仿宋_GB2312"/>
          <w:color w:val="auto"/>
          <w:sz w:val="32"/>
          <w:szCs w:val="32"/>
        </w:rPr>
        <w:t>3、公务用车购置费及运行维护费支出决算为7.29万元，其中：公务用车购置费0万元，本单位无更新公务用车。公务用车运行维护费7.29万元，主要是租车费支出，截止2022年</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2月31日，我单位开支财政拨款的公务用车保有量为0辆。</w:t>
      </w:r>
    </w:p>
    <w:p>
      <w:pPr>
        <w:pStyle w:val="9"/>
        <w:spacing w:line="600" w:lineRule="exact"/>
        <w:ind w:firstLine="640" w:firstLineChars="200"/>
        <w:rPr>
          <w:rFonts w:hAnsi="黑体"/>
          <w:bCs/>
          <w:sz w:val="32"/>
          <w:szCs w:val="32"/>
        </w:rPr>
      </w:pPr>
      <w:r>
        <w:rPr>
          <w:rFonts w:hint="eastAsia" w:hAnsi="黑体"/>
          <w:bCs/>
          <w:sz w:val="32"/>
          <w:szCs w:val="32"/>
        </w:rPr>
        <w:t>八、政府性基金预算收入支出决算情况</w:t>
      </w:r>
    </w:p>
    <w:p>
      <w:pPr>
        <w:pStyle w:val="9"/>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2022年度本单位无政府性基金收支。</w:t>
      </w:r>
    </w:p>
    <w:p>
      <w:pPr>
        <w:pStyle w:val="9"/>
        <w:spacing w:line="600" w:lineRule="exact"/>
        <w:ind w:firstLine="640" w:firstLineChars="200"/>
        <w:rPr>
          <w:rFonts w:ascii="Times New Roman" w:hAnsi="Times New Roman" w:eastAsia="仿宋_GB2312"/>
          <w:b/>
          <w:sz w:val="32"/>
          <w:szCs w:val="32"/>
        </w:rPr>
      </w:pPr>
      <w:r>
        <w:rPr>
          <w:rFonts w:hint="eastAsia" w:hAnsi="黑体"/>
          <w:bCs/>
          <w:sz w:val="32"/>
          <w:szCs w:val="32"/>
        </w:rPr>
        <w:t>九、关于机关运行经费支出说明</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本单位属于公益</w:t>
      </w:r>
      <w:r>
        <w:rPr>
          <w:rFonts w:hint="eastAsia" w:ascii="Times New Roman" w:hAnsi="Times New Roman" w:eastAsia="仿宋_GB2312"/>
          <w:sz w:val="32"/>
          <w:szCs w:val="32"/>
          <w:lang w:eastAsia="zh-CN"/>
        </w:rPr>
        <w:t>二</w:t>
      </w:r>
      <w:r>
        <w:rPr>
          <w:rFonts w:hint="eastAsia" w:ascii="Times New Roman" w:hAnsi="Times New Roman" w:eastAsia="仿宋_GB2312"/>
          <w:sz w:val="32"/>
          <w:szCs w:val="32"/>
        </w:rPr>
        <w:t>类事业单位，不属于行政单位和参照公务员法管理事业单位，无机关运行经费</w:t>
      </w:r>
      <w:r>
        <w:rPr>
          <w:rFonts w:hint="eastAsia" w:ascii="Times New Roman" w:hAnsi="Times New Roman" w:eastAsia="仿宋_GB2312"/>
          <w:color w:val="auto"/>
          <w:sz w:val="32"/>
          <w:szCs w:val="32"/>
        </w:rPr>
        <w:t>。</w:t>
      </w:r>
    </w:p>
    <w:p>
      <w:pPr>
        <w:pStyle w:val="9"/>
        <w:spacing w:line="600" w:lineRule="exact"/>
        <w:ind w:firstLine="640" w:firstLineChars="200"/>
        <w:rPr>
          <w:rFonts w:hAnsi="黑体"/>
          <w:bCs/>
          <w:sz w:val="32"/>
          <w:szCs w:val="32"/>
        </w:rPr>
      </w:pPr>
      <w:r>
        <w:rPr>
          <w:rFonts w:hint="eastAsia" w:hAnsi="黑体"/>
          <w:bCs/>
          <w:sz w:val="32"/>
          <w:szCs w:val="32"/>
        </w:rPr>
        <w:t>十、一般性支出情况说明</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2022年本部门未召开会议，无会议费开支；未开展培训，无培训费开支；未举办节庆、晚会、论坛、赛事活动，无节庆、晚会、论坛、赛事活动开支。</w:t>
      </w:r>
    </w:p>
    <w:p>
      <w:pPr>
        <w:pStyle w:val="9"/>
        <w:spacing w:line="600" w:lineRule="exact"/>
        <w:ind w:firstLine="640" w:firstLineChars="200"/>
        <w:rPr>
          <w:rFonts w:hAnsi="黑体"/>
          <w:bCs/>
          <w:sz w:val="32"/>
          <w:szCs w:val="32"/>
        </w:rPr>
      </w:pPr>
      <w:r>
        <w:rPr>
          <w:rFonts w:hint="eastAsia" w:hAnsi="黑体"/>
          <w:bCs/>
          <w:sz w:val="32"/>
          <w:szCs w:val="32"/>
        </w:rPr>
        <w:t>十</w:t>
      </w:r>
      <w:r>
        <w:rPr>
          <w:rFonts w:hint="eastAsia" w:hAnsi="黑体"/>
          <w:bCs/>
          <w:sz w:val="32"/>
          <w:szCs w:val="32"/>
          <w:lang w:eastAsia="zh-CN"/>
        </w:rPr>
        <w:t>一</w:t>
      </w:r>
      <w:r>
        <w:rPr>
          <w:rFonts w:hint="eastAsia" w:hAnsi="黑体"/>
          <w:bCs/>
          <w:sz w:val="32"/>
          <w:szCs w:val="32"/>
        </w:rPr>
        <w:t>、关于国有资产占用情况说明</w:t>
      </w:r>
    </w:p>
    <w:p>
      <w:pPr>
        <w:pStyle w:val="9"/>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截至2022年12月31日，本单位共有车辆10辆，其中，主要领导干部用车0辆，机要通信用车0辆、应急保障用车0辆、执法执勤用车0辆、特种专业技术用车</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辆、其他用车1辆，其他用车主要是</w:t>
      </w:r>
      <w:r>
        <w:rPr>
          <w:rFonts w:hint="eastAsia" w:ascii="Times New Roman" w:hAnsi="Times New Roman" w:eastAsia="仿宋_GB2312"/>
          <w:sz w:val="32"/>
          <w:szCs w:val="32"/>
          <w:lang w:eastAsia="zh-CN"/>
        </w:rPr>
        <w:t>医院公务用车</w:t>
      </w:r>
      <w:r>
        <w:rPr>
          <w:rFonts w:hint="eastAsia" w:ascii="Times New Roman" w:hAnsi="Times New Roman" w:eastAsia="仿宋_GB2312"/>
          <w:sz w:val="32"/>
          <w:szCs w:val="32"/>
        </w:rPr>
        <w:t>；单位价值50万元以上通用设备7套；单位价值100万元以上专用设备31台（套）。</w:t>
      </w:r>
    </w:p>
    <w:p>
      <w:pPr>
        <w:pStyle w:val="9"/>
        <w:numPr>
          <w:ilvl w:val="0"/>
          <w:numId w:val="0"/>
        </w:numPr>
        <w:spacing w:line="600" w:lineRule="exact"/>
        <w:rPr>
          <w:rFonts w:hint="eastAsia" w:hAnsi="黑体"/>
          <w:bCs/>
          <w:sz w:val="32"/>
          <w:szCs w:val="32"/>
        </w:rPr>
      </w:pPr>
      <w:r>
        <w:rPr>
          <w:rFonts w:hint="eastAsia" w:hAnsi="黑体"/>
          <w:bCs/>
          <w:sz w:val="32"/>
          <w:szCs w:val="32"/>
          <w:lang w:eastAsia="zh-CN"/>
        </w:rPr>
        <w:t>　　十二、</w:t>
      </w:r>
      <w:r>
        <w:rPr>
          <w:rFonts w:hint="eastAsia" w:hAnsi="黑体"/>
          <w:bCs/>
          <w:sz w:val="32"/>
          <w:szCs w:val="32"/>
        </w:rPr>
        <w:t>关于</w:t>
      </w:r>
      <w:r>
        <w:rPr>
          <w:rFonts w:hint="eastAsia" w:ascii="Times New Roman" w:hAnsi="Times New Roman" w:eastAsia="仿宋_GB2312"/>
          <w:sz w:val="32"/>
          <w:szCs w:val="32"/>
        </w:rPr>
        <w:t>2022</w:t>
      </w:r>
      <w:r>
        <w:rPr>
          <w:rFonts w:hint="eastAsia" w:hAnsi="黑体"/>
          <w:bCs/>
          <w:sz w:val="32"/>
          <w:szCs w:val="32"/>
        </w:rPr>
        <w:t>年度预算绩效情况的说明</w:t>
      </w:r>
    </w:p>
    <w:p>
      <w:pPr>
        <w:pStyle w:val="9"/>
        <w:spacing w:line="60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（一）部门整体支出绩效情况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１、住院医师规范化培训</w:t>
      </w:r>
      <w:r>
        <w:rPr>
          <w:rFonts w:hint="eastAsia" w:ascii="仿宋" w:hAnsi="仿宋" w:eastAsia="仿宋" w:cs="仿宋"/>
          <w:sz w:val="32"/>
          <w:szCs w:val="32"/>
        </w:rPr>
        <w:t>总体绩效目标完成情况：</w:t>
      </w:r>
      <w:r>
        <w:rPr>
          <w:rFonts w:hint="eastAsia" w:ascii="仿宋" w:hAnsi="仿宋" w:eastAsia="仿宋" w:cs="仿宋"/>
          <w:sz w:val="32"/>
          <w:szCs w:val="32"/>
          <w:lang w:eastAsia="zh-CN"/>
        </w:rPr>
        <w:t>住院医师规范化培训</w:t>
      </w:r>
      <w:r>
        <w:rPr>
          <w:rFonts w:hint="eastAsia" w:ascii="仿宋" w:hAnsi="仿宋" w:eastAsia="仿宋" w:cs="仿宋"/>
          <w:sz w:val="32"/>
          <w:szCs w:val="32"/>
        </w:rPr>
        <w:t>完成学员招录11人</w:t>
      </w:r>
      <w:r>
        <w:rPr>
          <w:rFonts w:hint="eastAsia" w:ascii="仿宋" w:hAnsi="仿宋" w:eastAsia="仿宋" w:cs="仿宋"/>
          <w:sz w:val="32"/>
          <w:szCs w:val="32"/>
          <w:lang w:eastAsia="zh-CN"/>
        </w:rPr>
        <w:t>，</w:t>
      </w:r>
      <w:r>
        <w:rPr>
          <w:rFonts w:hint="eastAsia" w:ascii="仿宋" w:hAnsi="仿宋" w:eastAsia="仿宋" w:cs="仿宋"/>
          <w:sz w:val="32"/>
          <w:szCs w:val="32"/>
        </w:rPr>
        <w:t>2022年9月14日组织学员进岗培训</w:t>
      </w:r>
      <w:r>
        <w:rPr>
          <w:rFonts w:hint="eastAsia" w:ascii="仿宋" w:hAnsi="仿宋" w:eastAsia="仿宋" w:cs="仿宋"/>
          <w:sz w:val="32"/>
          <w:szCs w:val="32"/>
          <w:lang w:eastAsia="zh-CN"/>
        </w:rPr>
        <w:t>，</w:t>
      </w:r>
      <w:r>
        <w:rPr>
          <w:rFonts w:hint="eastAsia" w:ascii="仿宋" w:hAnsi="仿宋" w:eastAsia="仿宋" w:cs="仿宋"/>
          <w:sz w:val="32"/>
          <w:szCs w:val="32"/>
        </w:rPr>
        <w:t>制定了轮科计划，学员均严格按照轮科计划进行临床轮转，完成轮转学习任务。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２、住院医师规范化培训</w:t>
      </w:r>
      <w:r>
        <w:rPr>
          <w:rFonts w:hint="eastAsia" w:ascii="仿宋" w:hAnsi="仿宋" w:eastAsia="仿宋" w:cs="仿宋"/>
          <w:sz w:val="32"/>
          <w:szCs w:val="32"/>
        </w:rPr>
        <w:t>绩效指标完成情况分析。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产出指标</w:t>
      </w:r>
      <w:r>
        <w:rPr>
          <w:rFonts w:hint="eastAsia" w:ascii="仿宋" w:hAnsi="仿宋" w:eastAsia="仿宋" w:cs="仿宋"/>
          <w:sz w:val="32"/>
          <w:szCs w:val="32"/>
          <w:lang w:eastAsia="zh-CN"/>
        </w:rPr>
        <w:t>：</w:t>
      </w:r>
      <w:r>
        <w:rPr>
          <w:rFonts w:hint="eastAsia" w:ascii="仿宋" w:hAnsi="仿宋" w:eastAsia="仿宋" w:cs="仿宋"/>
          <w:sz w:val="32"/>
          <w:szCs w:val="32"/>
        </w:rPr>
        <w:t xml:space="preserve">（1）招录学员数。2022年度招录计划为20人，实际完成招录11人次。（2）结业考核通过率。培训周期33个月，该批次学员培训周期未满，还不能参加结业考核。（3）培训及培训补助发放及时。学员9月进岗，办理了银行卡，从10月开始定期每月底发放培训补助。已逐月发放到位。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效益指标和可持续影响指标</w:t>
      </w:r>
      <w:r>
        <w:rPr>
          <w:rFonts w:hint="eastAsia" w:ascii="仿宋" w:hAnsi="仿宋" w:eastAsia="仿宋" w:cs="仿宋"/>
          <w:sz w:val="32"/>
          <w:szCs w:val="32"/>
          <w:lang w:eastAsia="zh-CN"/>
        </w:rPr>
        <w:t>：</w:t>
      </w:r>
      <w:r>
        <w:rPr>
          <w:rFonts w:hint="eastAsia" w:ascii="仿宋" w:hAnsi="仿宋" w:eastAsia="仿宋" w:cs="仿宋"/>
          <w:sz w:val="32"/>
          <w:szCs w:val="32"/>
        </w:rPr>
        <w:t xml:space="preserve">该项目无直接经济效益，产生的社会效益为全省各级各类医疗机构培养合格的中医住院医师，提升医疗服务水平。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满意度指标</w:t>
      </w:r>
      <w:r>
        <w:rPr>
          <w:rFonts w:hint="eastAsia" w:ascii="仿宋" w:hAnsi="仿宋" w:eastAsia="仿宋" w:cs="仿宋"/>
          <w:sz w:val="32"/>
          <w:szCs w:val="32"/>
          <w:lang w:eastAsia="zh-CN"/>
        </w:rPr>
        <w:t>：</w:t>
      </w:r>
      <w:r>
        <w:rPr>
          <w:rFonts w:hint="eastAsia" w:ascii="仿宋" w:hAnsi="仿宋" w:eastAsia="仿宋" w:cs="仿宋"/>
          <w:sz w:val="32"/>
          <w:szCs w:val="32"/>
        </w:rPr>
        <w:t>学员对本基地住培工作较为满意。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３、</w:t>
      </w:r>
      <w:r>
        <w:rPr>
          <w:rFonts w:hint="eastAsia" w:ascii="仿宋" w:hAnsi="仿宋" w:eastAsia="仿宋" w:cs="仿宋"/>
          <w:sz w:val="32"/>
          <w:szCs w:val="32"/>
        </w:rPr>
        <w:t>助理全科医生培训项目总体绩效目标完成情况：助理全科医生培训完成学员招录25人</w:t>
      </w:r>
      <w:r>
        <w:rPr>
          <w:rFonts w:hint="eastAsia" w:ascii="仿宋" w:hAnsi="仿宋" w:eastAsia="仿宋" w:cs="仿宋"/>
          <w:sz w:val="32"/>
          <w:szCs w:val="32"/>
          <w:lang w:eastAsia="zh-CN"/>
        </w:rPr>
        <w:t>，</w:t>
      </w:r>
      <w:r>
        <w:rPr>
          <w:rFonts w:hint="eastAsia" w:ascii="仿宋" w:hAnsi="仿宋" w:eastAsia="仿宋" w:cs="仿宋"/>
          <w:sz w:val="32"/>
          <w:szCs w:val="32"/>
        </w:rPr>
        <w:t>2022年9月14日组织学员进岗培训，应到25人，实到25人。25名学员均完成2022年集中理论培训；制定了轮科计划，学员均严格按照轮科计划进行临床轮转，完成轮转学习任务。</w:t>
      </w:r>
    </w:p>
    <w:p>
      <w:pPr>
        <w:rPr>
          <w:rFonts w:hint="eastAsia" w:ascii="仿宋" w:hAnsi="仿宋" w:eastAsia="仿宋" w:cs="仿宋"/>
          <w:sz w:val="32"/>
          <w:szCs w:val="32"/>
        </w:rPr>
      </w:pPr>
      <w:r>
        <w:rPr>
          <w:rFonts w:hint="eastAsia" w:ascii="仿宋" w:hAnsi="仿宋" w:eastAsia="仿宋" w:cs="仿宋"/>
          <w:sz w:val="32"/>
          <w:szCs w:val="32"/>
          <w:lang w:eastAsia="zh-CN"/>
        </w:rPr>
        <w:t>　　４、</w:t>
      </w:r>
      <w:r>
        <w:rPr>
          <w:rFonts w:hint="eastAsia" w:ascii="仿宋" w:hAnsi="仿宋" w:eastAsia="仿宋" w:cs="仿宋"/>
          <w:sz w:val="32"/>
          <w:szCs w:val="32"/>
        </w:rPr>
        <w:t>助理全科医生培训项目绩效指标完成情况分析。</w:t>
      </w:r>
    </w:p>
    <w:p>
      <w:pPr>
        <w:rPr>
          <w:rFonts w:hint="eastAsia" w:ascii="仿宋" w:hAnsi="仿宋" w:eastAsia="仿宋" w:cs="仿宋"/>
          <w:sz w:val="32"/>
          <w:szCs w:val="32"/>
        </w:rPr>
      </w:pPr>
      <w:r>
        <w:rPr>
          <w:rFonts w:hint="eastAsia" w:ascii="仿宋" w:hAnsi="仿宋" w:eastAsia="仿宋" w:cs="仿宋"/>
          <w:sz w:val="32"/>
          <w:szCs w:val="32"/>
          <w:lang w:eastAsia="zh-CN"/>
        </w:rPr>
        <w:t>　　</w:t>
      </w:r>
      <w:r>
        <w:rPr>
          <w:rFonts w:hint="eastAsia" w:ascii="仿宋" w:hAnsi="仿宋" w:eastAsia="仿宋" w:cs="仿宋"/>
          <w:sz w:val="32"/>
          <w:szCs w:val="32"/>
        </w:rPr>
        <w:t>产出指标</w:t>
      </w:r>
      <w:r>
        <w:rPr>
          <w:rFonts w:hint="eastAsia" w:ascii="仿宋" w:hAnsi="仿宋" w:eastAsia="仿宋" w:cs="仿宋"/>
          <w:sz w:val="32"/>
          <w:szCs w:val="32"/>
          <w:lang w:eastAsia="zh-CN"/>
        </w:rPr>
        <w:t>：</w:t>
      </w:r>
      <w:r>
        <w:rPr>
          <w:rFonts w:hint="eastAsia" w:ascii="仿宋" w:hAnsi="仿宋" w:eastAsia="仿宋" w:cs="仿宋"/>
          <w:sz w:val="32"/>
          <w:szCs w:val="32"/>
        </w:rPr>
        <w:t xml:space="preserve">（1）招录学员数。2022年度招录计划为25人，实际完成招录25人次。（2）结业考核通过率。培训周期24个月，该批次学员培训周期未满，还不能参加结业考核。（3）25名学员均按照省全科办通知，到湖南中医药高等专科学校完成2022年集中理论培训并考核合格；（4）培训及培训补助发放及时。学员9月进岗，办理了银行卡，从10月开始定期每月底发放培训补助。已逐月发放到位。 </w:t>
      </w:r>
    </w:p>
    <w:p>
      <w:pPr>
        <w:rPr>
          <w:rFonts w:hint="eastAsia" w:ascii="仿宋" w:hAnsi="仿宋" w:eastAsia="仿宋" w:cs="仿宋"/>
          <w:sz w:val="32"/>
          <w:szCs w:val="32"/>
        </w:rPr>
      </w:pPr>
      <w:r>
        <w:rPr>
          <w:rFonts w:hint="eastAsia" w:ascii="仿宋" w:hAnsi="仿宋" w:eastAsia="仿宋" w:cs="仿宋"/>
          <w:sz w:val="32"/>
          <w:szCs w:val="32"/>
          <w:lang w:eastAsia="zh-CN"/>
        </w:rPr>
        <w:t>　　</w:t>
      </w:r>
      <w:r>
        <w:rPr>
          <w:rFonts w:hint="eastAsia" w:ascii="仿宋" w:hAnsi="仿宋" w:eastAsia="仿宋" w:cs="仿宋"/>
          <w:sz w:val="32"/>
          <w:szCs w:val="32"/>
        </w:rPr>
        <w:t>效益指标和可持续影响指标</w:t>
      </w:r>
      <w:r>
        <w:rPr>
          <w:rFonts w:hint="eastAsia" w:ascii="仿宋" w:hAnsi="仿宋" w:eastAsia="仿宋" w:cs="仿宋"/>
          <w:sz w:val="32"/>
          <w:szCs w:val="32"/>
          <w:lang w:eastAsia="zh-CN"/>
        </w:rPr>
        <w:t>：</w:t>
      </w:r>
      <w:r>
        <w:rPr>
          <w:rFonts w:hint="eastAsia" w:ascii="仿宋" w:hAnsi="仿宋" w:eastAsia="仿宋" w:cs="仿宋"/>
          <w:sz w:val="32"/>
          <w:szCs w:val="32"/>
        </w:rPr>
        <w:t>该项目无直接经济效益，产生的社会效益为本市基层医疗机构培养合格的中医助理全科医生，提升基层中医医疗服务能力。</w:t>
      </w:r>
    </w:p>
    <w:p>
      <w:pPr>
        <w:pStyle w:val="9"/>
        <w:numPr>
          <w:ilvl w:val="0"/>
          <w:numId w:val="3"/>
        </w:numPr>
        <w:spacing w:line="600" w:lineRule="exact"/>
        <w:ind w:firstLine="640" w:firstLineChars="200"/>
        <w:rPr>
          <w:rFonts w:hint="eastAsia" w:ascii="仿宋" w:hAnsi="仿宋" w:eastAsia="仿宋" w:cs="仿宋"/>
          <w:b/>
          <w:bCs/>
          <w:sz w:val="32"/>
          <w:szCs w:val="32"/>
        </w:rPr>
      </w:pPr>
      <w:r>
        <w:rPr>
          <w:rFonts w:hint="eastAsia" w:ascii="仿宋" w:hAnsi="仿宋" w:eastAsia="仿宋" w:cs="仿宋"/>
          <w:b/>
          <w:bCs/>
          <w:sz w:val="32"/>
          <w:szCs w:val="32"/>
        </w:rPr>
        <w:t>存在的问题及原因分析</w:t>
      </w:r>
    </w:p>
    <w:p>
      <w:pPr>
        <w:rPr>
          <w:rFonts w:hint="eastAsia" w:ascii="仿宋" w:hAnsi="仿宋" w:eastAsia="仿宋" w:cs="仿宋"/>
          <w:sz w:val="32"/>
          <w:szCs w:val="32"/>
        </w:rPr>
      </w:pPr>
      <w:r>
        <w:rPr>
          <w:rFonts w:hint="eastAsia" w:ascii="仿宋" w:hAnsi="仿宋" w:eastAsia="仿宋" w:cs="仿宋"/>
          <w:sz w:val="32"/>
          <w:szCs w:val="32"/>
          <w:lang w:eastAsia="zh-CN"/>
        </w:rPr>
        <w:t>　　问题及原因分析：</w:t>
      </w:r>
      <w:r>
        <w:rPr>
          <w:rFonts w:hint="eastAsia" w:ascii="仿宋" w:hAnsi="仿宋" w:eastAsia="仿宋" w:cs="仿宋"/>
          <w:sz w:val="32"/>
          <w:szCs w:val="32"/>
        </w:rPr>
        <w:t>1.学员不够重视住培工作，未报名参加住培，或报名了我基地住培但缺席住培招录考试。2.各基地招录标准不一致，有些基地宁缺毋滥，有些基地满足于完成计划数，对生源质量要求偏低。3.省级医院、老牌基地的知名度高，吸引各地市生源报考，导致各地市招录计划不能完成。4.本基地条件还有待加强，如学员待遇、培训质量等还不够吸引更多生源报考。</w:t>
      </w:r>
    </w:p>
    <w:p>
      <w:pPr>
        <w:rPr>
          <w:rFonts w:hint="eastAsia" w:ascii="仿宋" w:hAnsi="仿宋" w:eastAsia="仿宋" w:cs="仿宋"/>
          <w:b w:val="0"/>
          <w:bCs w:val="0"/>
          <w:sz w:val="32"/>
          <w:szCs w:val="32"/>
        </w:rPr>
      </w:pPr>
      <w:r>
        <w:rPr>
          <w:rFonts w:hint="eastAsia"/>
          <w:lang w:eastAsia="zh-CN"/>
        </w:rPr>
        <w:t>　　　</w:t>
      </w:r>
    </w:p>
    <w:p>
      <w:pPr>
        <w:pStyle w:val="9"/>
        <w:jc w:val="center"/>
        <w:rPr>
          <w:rFonts w:hint="eastAsia" w:ascii="仿宋" w:hAnsi="仿宋" w:eastAsia="仿宋" w:cs="仿宋"/>
          <w:sz w:val="32"/>
          <w:szCs w:val="32"/>
        </w:rPr>
      </w:pPr>
    </w:p>
    <w:p>
      <w:pPr>
        <w:pStyle w:val="9"/>
        <w:jc w:val="center"/>
        <w:rPr>
          <w:sz w:val="32"/>
          <w:szCs w:val="32"/>
        </w:rPr>
      </w:pPr>
    </w:p>
    <w:p>
      <w:pPr>
        <w:pStyle w:val="9"/>
        <w:jc w:val="center"/>
        <w:rPr>
          <w:sz w:val="32"/>
          <w:szCs w:val="32"/>
        </w:rPr>
      </w:pPr>
    </w:p>
    <w:p>
      <w:pPr>
        <w:pStyle w:val="9"/>
        <w:jc w:val="center"/>
        <w:rPr>
          <w:sz w:val="32"/>
          <w:szCs w:val="32"/>
        </w:rPr>
      </w:pPr>
    </w:p>
    <w:p>
      <w:pPr>
        <w:pStyle w:val="9"/>
        <w:jc w:val="center"/>
        <w:rPr>
          <w:sz w:val="32"/>
          <w:szCs w:val="32"/>
        </w:rPr>
      </w:pPr>
    </w:p>
    <w:p>
      <w:pPr>
        <w:pStyle w:val="9"/>
        <w:jc w:val="center"/>
        <w:rPr>
          <w:sz w:val="32"/>
          <w:szCs w:val="32"/>
        </w:rPr>
      </w:pPr>
    </w:p>
    <w:p>
      <w:pPr>
        <w:pStyle w:val="9"/>
        <w:jc w:val="center"/>
        <w:rPr>
          <w:sz w:val="72"/>
          <w:szCs w:val="72"/>
        </w:rPr>
      </w:pPr>
    </w:p>
    <w:p>
      <w:pPr>
        <w:pStyle w:val="9"/>
        <w:jc w:val="center"/>
        <w:rPr>
          <w:sz w:val="72"/>
          <w:szCs w:val="72"/>
        </w:rPr>
      </w:pPr>
    </w:p>
    <w:p>
      <w:pPr>
        <w:pStyle w:val="9"/>
        <w:jc w:val="both"/>
        <w:rPr>
          <w:sz w:val="72"/>
          <w:szCs w:val="72"/>
        </w:rPr>
      </w:pPr>
    </w:p>
    <w:p>
      <w:pPr>
        <w:pStyle w:val="9"/>
        <w:jc w:val="both"/>
        <w:rPr>
          <w:sz w:val="72"/>
          <w:szCs w:val="7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both"/>
        <w:rPr>
          <w:rFonts w:ascii="方正小标宋_GBK" w:hAnsi="方正小标宋_GBK" w:eastAsia="方正小标宋_GBK" w:cs="方正小标宋_GBK"/>
          <w:sz w:val="72"/>
          <w:szCs w:val="72"/>
        </w:rPr>
      </w:pPr>
    </w:p>
    <w:p>
      <w:pPr>
        <w:pStyle w:val="9"/>
        <w:jc w:val="center"/>
        <w:rPr>
          <w:rFonts w:ascii="方正小标宋_GBK" w:hAnsi="方正小标宋_GBK" w:eastAsia="方正小标宋_GBK" w:cs="方正小标宋_GBK"/>
          <w:sz w:val="96"/>
          <w:szCs w:val="96"/>
        </w:rPr>
      </w:pPr>
      <w:r>
        <w:rPr>
          <w:rFonts w:hint="eastAsia" w:ascii="方正小标宋_GBK" w:hAnsi="方正小标宋_GBK" w:eastAsia="方正小标宋_GBK" w:cs="方正小标宋_GBK"/>
          <w:sz w:val="96"/>
          <w:szCs w:val="96"/>
        </w:rPr>
        <w:t>第四部分</w:t>
      </w:r>
    </w:p>
    <w:p>
      <w:pPr>
        <w:jc w:val="center"/>
        <w:rPr>
          <w:rFonts w:ascii="方正小标宋_GBK" w:hAnsi="方正小标宋_GBK" w:eastAsia="方正小标宋_GBK" w:cs="方正小标宋_GBK"/>
          <w:color w:val="000000"/>
          <w:kern w:val="0"/>
          <w:sz w:val="72"/>
          <w:szCs w:val="72"/>
        </w:rPr>
      </w:pPr>
    </w:p>
    <w:p>
      <w:pPr>
        <w:jc w:val="center"/>
        <w:rPr>
          <w:rFonts w:ascii="方正小标宋_GBK" w:hAnsi="方正小标宋_GBK" w:eastAsia="方正小标宋_GBK" w:cs="方正小标宋_GBK"/>
          <w:color w:val="000000"/>
          <w:kern w:val="0"/>
          <w:sz w:val="96"/>
          <w:szCs w:val="96"/>
        </w:rPr>
      </w:pPr>
      <w:r>
        <w:rPr>
          <w:rFonts w:hint="eastAsia" w:ascii="方正小标宋_GBK" w:hAnsi="方正小标宋_GBK" w:eastAsia="方正小标宋_GBK" w:cs="方正小标宋_GBK"/>
          <w:color w:val="000000"/>
          <w:kern w:val="0"/>
          <w:sz w:val="96"/>
          <w:szCs w:val="96"/>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widowControl/>
        <w:numPr>
          <w:ilvl w:val="0"/>
          <w:numId w:val="4"/>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财政拨款收入：指财政当年拨付的资金，主要包括一般公共预算财政拨款，政府性基金预算财政拨款，国有资本经营预算财政拨款。</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二、上级补助收入：指事业单位从主管部门和上级单位取得的非财政补助收入。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三、事业收入：指事业单位开展专业业务活动及辅助活动所取得的收入。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四、经营收入：指事业单位在专业业务活动及其辅助活动之外开展非独立核算经营活动取得的收入。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五、附属单位上缴收入：指事业单位附属独立核算单位按照有关规定上缴的收入。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六、其他收入：指除上述“财政拨款收入”、“事业收入”、“经营收入”等以外的收入。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七、基本支出：指为保障机构正常运转、完成日常工作任务而发生的各项支出，包括人员支出和公用支出。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八、项目支出：指在基本支出以外为完成相关行政任务和事业发展目标所发生的各项支出。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九、“三公”经费：指通过财政拨款资金安排的因公出国（境）费、公务用车购置及运行费和公务接待费支出。  </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pPr>
        <w:pStyle w:val="9"/>
        <w:spacing w:line="600" w:lineRule="exact"/>
        <w:ind w:firstLine="720" w:firstLineChars="200"/>
        <w:rPr>
          <w:rFonts w:ascii="Times New Roman" w:hAnsi="Times New Roman" w:eastAsia="仿宋_GB2312"/>
          <w:b/>
          <w:bCs/>
          <w:color w:val="FF0000"/>
          <w:sz w:val="36"/>
          <w:szCs w:val="36"/>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A46C1B"/>
    <w:multiLevelType w:val="singleLevel"/>
    <w:tmpl w:val="96A46C1B"/>
    <w:lvl w:ilvl="0" w:tentative="0">
      <w:start w:val="2"/>
      <w:numFmt w:val="chineseCounting"/>
      <w:suff w:val="nothing"/>
      <w:lvlText w:val="（%1）"/>
      <w:lvlJc w:val="left"/>
      <w:rPr>
        <w:rFonts w:hint="eastAsia"/>
      </w:rPr>
    </w:lvl>
  </w:abstractNum>
  <w:abstractNum w:abstractNumId="1">
    <w:nsid w:val="D9E3DA24"/>
    <w:multiLevelType w:val="singleLevel"/>
    <w:tmpl w:val="D9E3DA24"/>
    <w:lvl w:ilvl="0" w:tentative="0">
      <w:start w:val="1"/>
      <w:numFmt w:val="chineseCounting"/>
      <w:suff w:val="nothing"/>
      <w:lvlText w:val="%1、"/>
      <w:lvlJc w:val="left"/>
      <w:rPr>
        <w:rFonts w:hint="eastAsia"/>
      </w:rPr>
    </w:lvl>
  </w:abstractNum>
  <w:abstractNum w:abstractNumId="2">
    <w:nsid w:val="EFB36017"/>
    <w:multiLevelType w:val="singleLevel"/>
    <w:tmpl w:val="EFB36017"/>
    <w:lvl w:ilvl="0" w:tentative="0">
      <w:start w:val="7"/>
      <w:numFmt w:val="chineseCounting"/>
      <w:suff w:val="nothing"/>
      <w:lvlText w:val="%1、"/>
      <w:lvlJc w:val="left"/>
      <w:rPr>
        <w:rFonts w:hint="eastAsia"/>
      </w:rPr>
    </w:lvl>
  </w:abstractNum>
  <w:abstractNum w:abstractNumId="3">
    <w:nsid w:val="28C7238A"/>
    <w:multiLevelType w:val="singleLevel"/>
    <w:tmpl w:val="28C7238A"/>
    <w:lvl w:ilvl="0" w:tentative="0">
      <w:start w:val="3"/>
      <w:numFmt w:val="decimal"/>
      <w:suff w:val="nothing"/>
      <w:lvlText w:val="%1、"/>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GZjNDRmZDg1MmZkOWYxYjQ5NmU3ZTdhNmU2YWYxMjQifQ=="/>
  </w:docVars>
  <w:rsids>
    <w:rsidRoot w:val="004506F9"/>
    <w:rsid w:val="0002229B"/>
    <w:rsid w:val="000273BD"/>
    <w:rsid w:val="00040CBC"/>
    <w:rsid w:val="000415B7"/>
    <w:rsid w:val="00041E3F"/>
    <w:rsid w:val="00055DAA"/>
    <w:rsid w:val="00061F7B"/>
    <w:rsid w:val="000658A3"/>
    <w:rsid w:val="00074155"/>
    <w:rsid w:val="0007798D"/>
    <w:rsid w:val="000A3F69"/>
    <w:rsid w:val="00103957"/>
    <w:rsid w:val="00131C2B"/>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C4D2E"/>
    <w:rsid w:val="005D4D55"/>
    <w:rsid w:val="005E2CFB"/>
    <w:rsid w:val="005F2103"/>
    <w:rsid w:val="005F384F"/>
    <w:rsid w:val="005F3D1C"/>
    <w:rsid w:val="005F609A"/>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1B77"/>
    <w:rsid w:val="00727A53"/>
    <w:rsid w:val="00787B42"/>
    <w:rsid w:val="007C4539"/>
    <w:rsid w:val="007F3657"/>
    <w:rsid w:val="00812ED5"/>
    <w:rsid w:val="008277D9"/>
    <w:rsid w:val="0084478C"/>
    <w:rsid w:val="0086638C"/>
    <w:rsid w:val="0089075D"/>
    <w:rsid w:val="008A3E8D"/>
    <w:rsid w:val="008A7340"/>
    <w:rsid w:val="009237C4"/>
    <w:rsid w:val="00944C48"/>
    <w:rsid w:val="00950252"/>
    <w:rsid w:val="00967F5D"/>
    <w:rsid w:val="00980255"/>
    <w:rsid w:val="009A0F95"/>
    <w:rsid w:val="009B3ADF"/>
    <w:rsid w:val="009C3B52"/>
    <w:rsid w:val="009E6817"/>
    <w:rsid w:val="009E6E9A"/>
    <w:rsid w:val="00A01D2B"/>
    <w:rsid w:val="00A42218"/>
    <w:rsid w:val="00A70249"/>
    <w:rsid w:val="00A70B02"/>
    <w:rsid w:val="00A71D9F"/>
    <w:rsid w:val="00A92E9F"/>
    <w:rsid w:val="00AB18FF"/>
    <w:rsid w:val="00AE5C7A"/>
    <w:rsid w:val="00B0453A"/>
    <w:rsid w:val="00B33BEA"/>
    <w:rsid w:val="00B57C9F"/>
    <w:rsid w:val="00B63572"/>
    <w:rsid w:val="00B84020"/>
    <w:rsid w:val="00B845B3"/>
    <w:rsid w:val="00B85D8B"/>
    <w:rsid w:val="00BB4A40"/>
    <w:rsid w:val="00BD6C3E"/>
    <w:rsid w:val="00BE3674"/>
    <w:rsid w:val="00C10681"/>
    <w:rsid w:val="00C154B4"/>
    <w:rsid w:val="00C3049A"/>
    <w:rsid w:val="00C31B1E"/>
    <w:rsid w:val="00C77645"/>
    <w:rsid w:val="00CE04C3"/>
    <w:rsid w:val="00CE76A0"/>
    <w:rsid w:val="00D06C4E"/>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7B04DC"/>
    <w:rsid w:val="0BEE7CFD"/>
    <w:rsid w:val="0D6F3D3F"/>
    <w:rsid w:val="0DE10621"/>
    <w:rsid w:val="0FC5429B"/>
    <w:rsid w:val="14A01AD9"/>
    <w:rsid w:val="16FB7986"/>
    <w:rsid w:val="17212F18"/>
    <w:rsid w:val="18AD22E9"/>
    <w:rsid w:val="19FB22BA"/>
    <w:rsid w:val="1A0E3AB4"/>
    <w:rsid w:val="1A705206"/>
    <w:rsid w:val="1E0D658A"/>
    <w:rsid w:val="1F2C459D"/>
    <w:rsid w:val="2123408C"/>
    <w:rsid w:val="23EA5185"/>
    <w:rsid w:val="245D1763"/>
    <w:rsid w:val="283536C5"/>
    <w:rsid w:val="29357A83"/>
    <w:rsid w:val="29F70417"/>
    <w:rsid w:val="2ABFE546"/>
    <w:rsid w:val="2FDB53C0"/>
    <w:rsid w:val="319E0088"/>
    <w:rsid w:val="3425795C"/>
    <w:rsid w:val="351E0FBF"/>
    <w:rsid w:val="3A263E74"/>
    <w:rsid w:val="3B563A59"/>
    <w:rsid w:val="3D792D3C"/>
    <w:rsid w:val="3DBB7565"/>
    <w:rsid w:val="3EA00A69"/>
    <w:rsid w:val="3ED862C8"/>
    <w:rsid w:val="442C432A"/>
    <w:rsid w:val="45101210"/>
    <w:rsid w:val="4A7B3068"/>
    <w:rsid w:val="4B02564D"/>
    <w:rsid w:val="4B183DBB"/>
    <w:rsid w:val="51E270B1"/>
    <w:rsid w:val="52374280"/>
    <w:rsid w:val="52CB6777"/>
    <w:rsid w:val="53815510"/>
    <w:rsid w:val="5777D4F5"/>
    <w:rsid w:val="57A95BB3"/>
    <w:rsid w:val="57B13C22"/>
    <w:rsid w:val="589570CB"/>
    <w:rsid w:val="59FD5A9E"/>
    <w:rsid w:val="5C6507D2"/>
    <w:rsid w:val="5EBD5B0D"/>
    <w:rsid w:val="5F49421E"/>
    <w:rsid w:val="5FC6BB1E"/>
    <w:rsid w:val="5FF720F1"/>
    <w:rsid w:val="60206354"/>
    <w:rsid w:val="623103B6"/>
    <w:rsid w:val="65B04F76"/>
    <w:rsid w:val="66932058"/>
    <w:rsid w:val="66A933C3"/>
    <w:rsid w:val="67F178E9"/>
    <w:rsid w:val="71931FAF"/>
    <w:rsid w:val="71EB53FB"/>
    <w:rsid w:val="737D59BA"/>
    <w:rsid w:val="74DD43BC"/>
    <w:rsid w:val="77C37683"/>
    <w:rsid w:val="79FF515B"/>
    <w:rsid w:val="7A0A6111"/>
    <w:rsid w:val="7A6301DE"/>
    <w:rsid w:val="7A764DD8"/>
    <w:rsid w:val="7B275BDA"/>
    <w:rsid w:val="7E9F11B4"/>
    <w:rsid w:val="7FC69637"/>
    <w:rsid w:val="7FFDB408"/>
    <w:rsid w:val="BBBBF257"/>
    <w:rsid w:val="CBFF70E0"/>
    <w:rsid w:val="CFD67BFB"/>
    <w:rsid w:val="DF7D924B"/>
    <w:rsid w:val="EEABED75"/>
    <w:rsid w:val="FB36E1A6"/>
    <w:rsid w:val="FDDFBD7A"/>
    <w:rsid w:val="FDF56CAA"/>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批注框文本 Char"/>
    <w:basedOn w:val="6"/>
    <w:link w:val="2"/>
    <w:semiHidden/>
    <w:qFormat/>
    <w:uiPriority w:val="99"/>
    <w:rPr>
      <w:sz w:val="18"/>
      <w:szCs w:val="18"/>
    </w:rPr>
  </w:style>
  <w:style w:type="character" w:customStyle="1" w:styleId="12">
    <w:name w:val="font01"/>
    <w:basedOn w:val="6"/>
    <w:qFormat/>
    <w:uiPriority w:val="0"/>
    <w:rPr>
      <w:rFonts w:hint="eastAsia" w:ascii="宋体" w:hAnsi="宋体" w:eastAsia="宋体" w:cs="宋体"/>
      <w:color w:val="000000"/>
      <w:sz w:val="22"/>
      <w:szCs w:val="22"/>
      <w:u w:val="none"/>
    </w:rPr>
  </w:style>
  <w:style w:type="character" w:customStyle="1" w:styleId="13">
    <w:name w:val="font21"/>
    <w:basedOn w:val="6"/>
    <w:qFormat/>
    <w:uiPriority w:val="0"/>
    <w:rPr>
      <w:rFonts w:hint="eastAsia" w:ascii="宋体" w:hAnsi="宋体" w:eastAsia="宋体" w:cs="宋体"/>
      <w:color w:val="000000"/>
      <w:sz w:val="24"/>
      <w:szCs w:val="24"/>
      <w:u w:val="none"/>
    </w:rPr>
  </w:style>
  <w:style w:type="character" w:customStyle="1" w:styleId="14">
    <w:name w:val="font1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14</Pages>
  <Words>4634</Words>
  <Characters>5064</Characters>
  <Lines>71</Lines>
  <Paragraphs>20</Paragraphs>
  <TotalTime>4</TotalTime>
  <ScaleCrop>false</ScaleCrop>
  <LinksUpToDate>false</LinksUpToDate>
  <CharactersWithSpaces>5098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2020-07-05T18:32:00Z</dcterms:created>
  <dc:creator>李航 null</dc:creator>
  <cp:lastModifiedBy>Administrator</cp:lastModifiedBy>
  <cp:lastPrinted>2023-09-22T17:43:00Z</cp:lastPrinted>
  <dcterms:modified xsi:type="dcterms:W3CDTF">2024-01-16T01:22:54Z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39B453BBF4D940FA9EAAB88F97720180_12</vt:lpwstr>
  </property>
</Properties>
</file>